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楷体_GB2312" w:eastAsia="楷体_GB2312" w:cs="仿宋_GB2312"/>
          <w:kern w:val="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赣州市章贡生态环境局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年度行政执法数据</w:t>
      </w:r>
    </w:p>
    <w:p>
      <w:pPr>
        <w:jc w:val="center"/>
        <w:rPr>
          <w:rFonts w:hint="eastAsia" w:ascii="黑体" w:eastAsia="黑体" w:cs="仿宋_GB2312"/>
          <w:kern w:val="0"/>
          <w:sz w:val="32"/>
          <w:szCs w:val="32"/>
        </w:rPr>
      </w:pPr>
    </w:p>
    <w:p>
      <w:pPr>
        <w:jc w:val="center"/>
        <w:rPr>
          <w:rFonts w:hint="eastAsia"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</w:rPr>
        <w:t>目录</w:t>
      </w:r>
    </w:p>
    <w:p>
      <w:pPr>
        <w:jc w:val="center"/>
        <w:rPr>
          <w:rFonts w:hint="eastAsia" w:ascii="黑体" w:eastAsia="黑体" w:cs="仿宋_GB2312"/>
          <w:kern w:val="0"/>
          <w:sz w:val="32"/>
          <w:szCs w:val="32"/>
        </w:rPr>
      </w:pP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一、行政执法总体情况统计表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二、行政许可实施情况统计表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三、行政处罚实施情况统计表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四、行政强制实施情况统计表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五、行政检查实施情况统计表</w:t>
      </w: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2098" w:right="1587" w:bottom="2098" w:left="1587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表一</w:t>
      </w:r>
    </w:p>
    <w:p>
      <w:pPr>
        <w:pStyle w:val="6"/>
        <w:ind w:left="0" w:leftChars="0" w:right="21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u w:val="none"/>
          <w:lang w:val="en-US" w:eastAsia="zh-CN"/>
        </w:rPr>
        <w:t>赣州市章贡生态环境局2022</w:t>
      </w:r>
      <w:r>
        <w:rPr>
          <w:rFonts w:hint="eastAsia" w:ascii="黑体" w:eastAsia="黑体" w:cs="黑体"/>
          <w:kern w:val="0"/>
          <w:sz w:val="32"/>
          <w:szCs w:val="32"/>
        </w:rPr>
        <w:t>年度行政执法总体情况统计表</w:t>
      </w:r>
    </w:p>
    <w:tbl>
      <w:tblPr>
        <w:tblStyle w:val="9"/>
        <w:tblW w:w="14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30"/>
        <w:gridCol w:w="480"/>
        <w:gridCol w:w="555"/>
        <w:gridCol w:w="660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50"/>
        <w:gridCol w:w="750"/>
        <w:gridCol w:w="540"/>
        <w:gridCol w:w="560"/>
        <w:gridCol w:w="505"/>
        <w:gridCol w:w="450"/>
        <w:gridCol w:w="750"/>
        <w:gridCol w:w="660"/>
        <w:gridCol w:w="645"/>
        <w:gridCol w:w="855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635" w:type="dxa"/>
            <w:gridSpan w:val="3"/>
            <w:vAlign w:val="center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已确认公示的行政执法主体情况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行政执法人员情况</w:t>
            </w:r>
          </w:p>
        </w:tc>
        <w:tc>
          <w:tcPr>
            <w:tcW w:w="3465" w:type="dxa"/>
            <w:gridSpan w:val="7"/>
            <w:vAlign w:val="center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行政执法事项清单情况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行政裁量基准</w:t>
            </w:r>
          </w:p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制度情况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行政执法决定情况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重大行政处罚案件备案情况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职权主体数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授权主体数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受委托主体数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在岗在编人员数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培训考试合格人员数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调离执法岗位人员数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培训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次数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行政执法事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项清单项数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涉及行政执法单位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数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是否公示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年度行政裁量基准数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现有行政裁量基准总数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是否录入平台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总数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行政许可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行政处罚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行政强制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其他行政行为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总体备案数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涉企重大行政处罚备案数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是否经法制审核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8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5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5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83" w:type="dxa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行政许可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行政处罚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行政强制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行政检查</w:t>
            </w:r>
          </w:p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>
            <w:pPr>
              <w:pStyle w:val="6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其他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0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15" w:type="dxa"/>
            <w:vMerge w:val="continue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63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55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26</w:t>
            </w:r>
          </w:p>
        </w:tc>
        <w:tc>
          <w:tcPr>
            <w:tcW w:w="66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26</w:t>
            </w:r>
          </w:p>
        </w:tc>
        <w:tc>
          <w:tcPr>
            <w:tcW w:w="64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55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20</w:t>
            </w: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4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60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  <w:t>是</w:t>
            </w:r>
          </w:p>
        </w:tc>
        <w:tc>
          <w:tcPr>
            <w:tcW w:w="7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7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54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是</w:t>
            </w:r>
          </w:p>
        </w:tc>
        <w:tc>
          <w:tcPr>
            <w:tcW w:w="56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129</w:t>
            </w:r>
          </w:p>
        </w:tc>
        <w:tc>
          <w:tcPr>
            <w:tcW w:w="50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121</w:t>
            </w:r>
          </w:p>
        </w:tc>
        <w:tc>
          <w:tcPr>
            <w:tcW w:w="4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4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85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61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3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6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4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0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6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0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60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4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85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15" w:type="dxa"/>
          </w:tcPr>
          <w:p>
            <w:pPr>
              <w:pStyle w:val="6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1.统计范围为统计年度1月1日至12月31日期间的行政执法数据。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2.培训次数为组织开展的专业培训次数和综合培训次数总和。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3.</w:t>
      </w:r>
      <w:r>
        <w:rPr>
          <w:rFonts w:hint="eastAsia" w:ascii="仿宋_GB2312" w:eastAsia="仿宋_GB2312" w:cs="仿宋_GB2312"/>
          <w:sz w:val="24"/>
        </w:rPr>
        <w:t>行政执法事项清单情况中的“是否公示”是指所有行政执法事项清单是否按照行政执法公示要求，在政府网站、部门网站、行政执法服务网公示</w:t>
      </w:r>
      <w:r>
        <w:rPr>
          <w:rFonts w:hint="eastAsia" w:ascii="仿宋_GB2312" w:eastAsia="仿宋_GB2312" w:cs="仿宋_GB2312"/>
          <w:kern w:val="0"/>
          <w:sz w:val="24"/>
        </w:rPr>
        <w:t>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4.年度行政裁量权基准数，省级单位统计梳理、细化并经公布的行政裁量基准数，市级及以下单位统计与上级部门对接的行政裁量基准数。现有行政裁量基准总数统计现有公布有效的所有行政裁量基准数。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5.重大行政处罚备案总体情况中“是否经法制审核”指全部重大行政处罚案件。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表二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赣州市章贡生态环境局</w:t>
      </w:r>
      <w:r>
        <w:rPr>
          <w:rFonts w:hint="eastAsia" w:ascii="黑体" w:eastAsia="黑体" w:cs="黑体"/>
          <w:kern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黑体" w:eastAsia="黑体" w:cs="黑体"/>
          <w:kern w:val="0"/>
          <w:sz w:val="32"/>
          <w:szCs w:val="32"/>
        </w:rPr>
        <w:t>年度行政许可实施情况统计表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06"/>
        <w:gridCol w:w="2088"/>
        <w:gridCol w:w="1985"/>
        <w:gridCol w:w="1882"/>
        <w:gridCol w:w="2415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230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837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行政许可实施数量（宗）</w:t>
            </w:r>
          </w:p>
        </w:tc>
        <w:tc>
          <w:tcPr>
            <w:tcW w:w="211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撤销许可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申请数量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受理数量</w:t>
            </w:r>
          </w:p>
        </w:tc>
        <w:tc>
          <w:tcPr>
            <w:tcW w:w="1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许可的数量</w:t>
            </w:r>
          </w:p>
        </w:tc>
        <w:tc>
          <w:tcPr>
            <w:tcW w:w="241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不予许可的数量</w:t>
            </w:r>
          </w:p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230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赣州市章贡生态环境局</w:t>
            </w:r>
          </w:p>
        </w:tc>
        <w:tc>
          <w:tcPr>
            <w:tcW w:w="208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 w:bidi="ar-SA"/>
              </w:rPr>
              <w:t>76（排污许可）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45（环评审批）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 w:bidi="ar-SA"/>
              </w:rPr>
              <w:t>76（排污许可）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33（环评审批）</w:t>
            </w:r>
          </w:p>
        </w:tc>
        <w:tc>
          <w:tcPr>
            <w:tcW w:w="18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 w:bidi="ar-SA"/>
              </w:rPr>
              <w:t>76（排污许可）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33（环评审批）</w:t>
            </w:r>
          </w:p>
        </w:tc>
        <w:tc>
          <w:tcPr>
            <w:tcW w:w="24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 w:bidi="ar-SA"/>
              </w:rPr>
              <w:t>0（排污许可）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12（环评审批）</w:t>
            </w:r>
          </w:p>
        </w:tc>
        <w:tc>
          <w:tcPr>
            <w:tcW w:w="211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8（排污许可）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20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121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109</w:t>
            </w:r>
          </w:p>
        </w:tc>
        <w:tc>
          <w:tcPr>
            <w:tcW w:w="1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109</w:t>
            </w:r>
          </w:p>
        </w:tc>
        <w:tc>
          <w:tcPr>
            <w:tcW w:w="24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12</w:t>
            </w:r>
          </w:p>
        </w:tc>
        <w:tc>
          <w:tcPr>
            <w:tcW w:w="21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8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ind w:firstLine="480" w:firstLineChars="200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1.“申请数量”的统计范围为统计年度1月1日至12月31日期间许可机关收到当事人许可申请的数量。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ind w:firstLine="480" w:firstLineChars="200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3.准予变更、延续和不予变更、延续的数量，分别计入“许可的数量”、“不予许可的数量”。</w:t>
      </w:r>
    </w:p>
    <w:p>
      <w:pPr>
        <w:rPr>
          <w:rFonts w:hint="eastAsia" w:ascii="仿宋_GB2312" w:eastAsia="仿宋_GB2312" w:cs="仿宋_GB2312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表三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赣州市章贡生态环境局</w:t>
      </w:r>
      <w:r>
        <w:rPr>
          <w:rFonts w:hint="eastAsia" w:ascii="黑体" w:eastAsia="黑体" w:cs="黑体"/>
          <w:kern w:val="0"/>
          <w:sz w:val="32"/>
          <w:szCs w:val="32"/>
        </w:rPr>
        <w:t>年度行政处罚实施情况统计表</w:t>
      </w:r>
    </w:p>
    <w:tbl>
      <w:tblPr>
        <w:tblStyle w:val="9"/>
        <w:tblW w:w="14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43"/>
        <w:gridCol w:w="1017"/>
        <w:gridCol w:w="840"/>
        <w:gridCol w:w="1665"/>
        <w:gridCol w:w="2385"/>
        <w:gridCol w:w="1740"/>
        <w:gridCol w:w="780"/>
        <w:gridCol w:w="1020"/>
        <w:gridCol w:w="869"/>
        <w:gridCol w:w="1266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10316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行政处罚实施数量（宗）</w:t>
            </w:r>
          </w:p>
        </w:tc>
        <w:tc>
          <w:tcPr>
            <w:tcW w:w="12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罚没金额（万元）</w:t>
            </w:r>
          </w:p>
        </w:tc>
        <w:tc>
          <w:tcPr>
            <w:tcW w:w="7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43" w:type="dxa"/>
            <w:vMerge w:val="continue"/>
            <w:vAlign w:val="center"/>
          </w:tcPr>
          <w:p/>
        </w:tc>
        <w:tc>
          <w:tcPr>
            <w:tcW w:w="101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警告、通报批评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罚款</w:t>
            </w:r>
          </w:p>
        </w:tc>
        <w:tc>
          <w:tcPr>
            <w:tcW w:w="166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没收违法所得、没收非法财物</w:t>
            </w: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暂扣许可证件、降低资质等级、吊销许可证件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限制开展生产经营活动、责令停产停业、责令关闭、限制从业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行政拘留</w:t>
            </w: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其他行政处罚</w:t>
            </w:r>
          </w:p>
        </w:tc>
        <w:tc>
          <w:tcPr>
            <w:tcW w:w="869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合计（宗）</w:t>
            </w:r>
          </w:p>
        </w:tc>
        <w:tc>
          <w:tcPr>
            <w:tcW w:w="12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赣州生态环境局</w:t>
            </w:r>
          </w:p>
        </w:tc>
        <w:tc>
          <w:tcPr>
            <w:tcW w:w="10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16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12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156.8761</w:t>
            </w:r>
          </w:p>
        </w:tc>
        <w:tc>
          <w:tcPr>
            <w:tcW w:w="7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156.8761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1.行政处罚实施数量的统计范围为统计年度1月1日至12月31日期间作出行政处罚决定的数量（包括经行政复议或者行政诉讼被撤销的行政处罚决定数量）。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2.其他行政处罚，为法律、行政法规规定的其他行政处罚，比如驱逐出境等。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参考顺序：（1）警告、通报批评，（2）罚款，（3）没收违法所得、没收非法财物，（4）暂扣许可证件、降低资质等级，（5）限制开展生产经营活动、责令停产停业、责令关闭、限制从业，（6）吊销许可证件，（7）行政拘留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4.没收违法所得、没收非法财物能确定金额的，计入“罚没金额”；不能确定金额的，不计入“罚没金额”。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5.“罚没金额”以处罚决定书确定的金额为准。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表四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赣州市章贡生态环境局2022</w:t>
      </w:r>
      <w:r>
        <w:rPr>
          <w:rFonts w:hint="eastAsia" w:ascii="黑体" w:eastAsia="黑体" w:cs="黑体"/>
          <w:kern w:val="0"/>
          <w:sz w:val="32"/>
          <w:szCs w:val="32"/>
        </w:rPr>
        <w:t>年度行政强制实施情况统计表</w:t>
      </w:r>
    </w:p>
    <w:tbl>
      <w:tblPr>
        <w:tblStyle w:val="9"/>
        <w:tblW w:w="14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359"/>
        <w:gridCol w:w="846"/>
        <w:gridCol w:w="1065"/>
        <w:gridCol w:w="1005"/>
        <w:gridCol w:w="1035"/>
        <w:gridCol w:w="1005"/>
        <w:gridCol w:w="1170"/>
        <w:gridCol w:w="975"/>
        <w:gridCol w:w="1785"/>
        <w:gridCol w:w="960"/>
        <w:gridCol w:w="615"/>
        <w:gridCol w:w="945"/>
        <w:gridCol w:w="750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495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行政强制措施实施数量（宗）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行政强制执行实施数量（宗）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4" w:type="dxa"/>
            <w:vMerge w:val="continue"/>
            <w:vAlign w:val="center"/>
          </w:tcPr>
          <w:p/>
        </w:tc>
        <w:tc>
          <w:tcPr>
            <w:tcW w:w="1359" w:type="dxa"/>
            <w:vMerge w:val="continue"/>
            <w:vAlign w:val="center"/>
          </w:tcPr>
          <w:p/>
        </w:tc>
        <w:tc>
          <w:tcPr>
            <w:tcW w:w="84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限制公民人身自由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查封场所、设施或者财物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扣押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财物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冻结存款、汇款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其他行政强制措施</w:t>
            </w:r>
          </w:p>
        </w:tc>
        <w:tc>
          <w:tcPr>
            <w:tcW w:w="645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行政机关强制执行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申请法院强制执行</w:t>
            </w:r>
          </w:p>
        </w:tc>
        <w:tc>
          <w:tcPr>
            <w:tcW w:w="55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614" w:type="dxa"/>
            <w:vMerge w:val="continue"/>
            <w:vAlign w:val="center"/>
          </w:tcPr>
          <w:p/>
        </w:tc>
        <w:tc>
          <w:tcPr>
            <w:tcW w:w="1359" w:type="dxa"/>
            <w:vMerge w:val="continue"/>
            <w:vAlign w:val="center"/>
          </w:tcPr>
          <w:p/>
        </w:tc>
        <w:tc>
          <w:tcPr>
            <w:tcW w:w="846" w:type="dxa"/>
            <w:vMerge w:val="continue"/>
            <w:vAlign w:val="center"/>
          </w:tcPr>
          <w:p/>
        </w:tc>
        <w:tc>
          <w:tcPr>
            <w:tcW w:w="1065" w:type="dxa"/>
            <w:vMerge w:val="continue"/>
            <w:vAlign w:val="center"/>
          </w:tcPr>
          <w:p/>
        </w:tc>
        <w:tc>
          <w:tcPr>
            <w:tcW w:w="1005" w:type="dxa"/>
            <w:vMerge w:val="continue"/>
            <w:vAlign w:val="center"/>
          </w:tcPr>
          <w:p/>
        </w:tc>
        <w:tc>
          <w:tcPr>
            <w:tcW w:w="1035" w:type="dxa"/>
            <w:vMerge w:val="continue"/>
            <w:vAlign w:val="center"/>
          </w:tcPr>
          <w:p/>
        </w:tc>
        <w:tc>
          <w:tcPr>
            <w:tcW w:w="1005" w:type="dxa"/>
            <w:vMerge w:val="continue"/>
            <w:vAlign w:val="center"/>
          </w:tcPr>
          <w:p/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加处罚款或者滞纳金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划拨存款、汇款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排除妨碍、恢复原状</w:t>
            </w: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代履行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其他强制执行方式</w:t>
            </w:r>
          </w:p>
        </w:tc>
        <w:tc>
          <w:tcPr>
            <w:tcW w:w="750" w:type="dxa"/>
            <w:vMerge w:val="continue"/>
            <w:vAlign w:val="center"/>
          </w:tcPr>
          <w:p/>
        </w:tc>
        <w:tc>
          <w:tcPr>
            <w:tcW w:w="55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赣州市章贡生态环境局</w:t>
            </w:r>
          </w:p>
        </w:tc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1.行政强制措施实施数量的统计范围为统计年度1月1日至12月31日期间作出“限制公民人身自由”、“查封场所、设施或者财物”、“扣押财物”、“冻结存款、汇款”或者“其他行政强制措施”决定的数量。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4.申请法院强制执行数量的统计范围为统计年度1月1日至12月31日期间向法院申请强制执行的数量，时间以申请日期为准。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表五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赣州市章贡生态环境局2022</w:t>
      </w:r>
      <w:r>
        <w:rPr>
          <w:rFonts w:hint="eastAsia" w:ascii="黑体" w:eastAsia="黑体" w:cs="黑体"/>
          <w:kern w:val="0"/>
          <w:sz w:val="32"/>
          <w:szCs w:val="32"/>
        </w:rPr>
        <w:t>年度行政检查实施情况统计表</w:t>
      </w:r>
    </w:p>
    <w:tbl>
      <w:tblPr>
        <w:tblStyle w:val="9"/>
        <w:tblW w:w="15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42"/>
        <w:gridCol w:w="928"/>
        <w:gridCol w:w="810"/>
        <w:gridCol w:w="765"/>
        <w:gridCol w:w="810"/>
        <w:gridCol w:w="750"/>
        <w:gridCol w:w="855"/>
        <w:gridCol w:w="840"/>
        <w:gridCol w:w="855"/>
        <w:gridCol w:w="800"/>
        <w:gridCol w:w="900"/>
        <w:gridCol w:w="1210"/>
        <w:gridCol w:w="1050"/>
        <w:gridCol w:w="825"/>
        <w:gridCol w:w="91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575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“双随机”监管情况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涉企检查计划情况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专项检查情况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重点监管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643" w:type="dxa"/>
            <w:vMerge w:val="continue"/>
          </w:tcPr>
          <w:p/>
        </w:tc>
        <w:tc>
          <w:tcPr>
            <w:tcW w:w="1442" w:type="dxa"/>
            <w:vMerge w:val="continue"/>
          </w:tcPr>
          <w:p/>
        </w:tc>
        <w:tc>
          <w:tcPr>
            <w:tcW w:w="92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“双随机”监管清单占比</w:t>
            </w:r>
          </w:p>
        </w:tc>
        <w:tc>
          <w:tcPr>
            <w:tcW w:w="81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检查计划数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检查任务数</w:t>
            </w:r>
          </w:p>
        </w:tc>
        <w:tc>
          <w:tcPr>
            <w:tcW w:w="81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行政检查（次数）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联合检查任务数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联合检查占比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是否依托平台开展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涉企检查计划数</w:t>
            </w:r>
          </w:p>
        </w:tc>
        <w:tc>
          <w:tcPr>
            <w:tcW w:w="80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涉及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企业数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同比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下降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开展涉及国家、省、市政府部署的专项检查次数</w:t>
            </w: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专项计划是否按时在平台备案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重点监管清单数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重点监管任务数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是否依托平台开展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442" w:type="dxa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val="en-US" w:eastAsia="zh-CN"/>
              </w:rPr>
              <w:t>赣州市章贡生态环境局</w:t>
            </w:r>
          </w:p>
        </w:tc>
        <w:tc>
          <w:tcPr>
            <w:tcW w:w="92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14.3%</w:t>
            </w:r>
          </w:p>
        </w:tc>
        <w:tc>
          <w:tcPr>
            <w:tcW w:w="81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7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81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80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85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100%</w:t>
            </w:r>
          </w:p>
        </w:tc>
        <w:tc>
          <w:tcPr>
            <w:tcW w:w="84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  <w:t>是</w:t>
            </w:r>
          </w:p>
        </w:tc>
        <w:tc>
          <w:tcPr>
            <w:tcW w:w="85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80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146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29.8%</w:t>
            </w: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10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  <w:t>是</w:t>
            </w:r>
          </w:p>
        </w:tc>
        <w:tc>
          <w:tcPr>
            <w:tcW w:w="8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91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35</w:t>
            </w:r>
          </w:p>
        </w:tc>
        <w:tc>
          <w:tcPr>
            <w:tcW w:w="7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92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14.3%</w:t>
            </w:r>
          </w:p>
        </w:tc>
        <w:tc>
          <w:tcPr>
            <w:tcW w:w="81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7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81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80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85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100%</w:t>
            </w:r>
          </w:p>
        </w:tc>
        <w:tc>
          <w:tcPr>
            <w:tcW w:w="84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  <w:t>是</w:t>
            </w:r>
          </w:p>
        </w:tc>
        <w:tc>
          <w:tcPr>
            <w:tcW w:w="85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80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146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29.8%</w:t>
            </w: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10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  <w:t>是</w:t>
            </w:r>
          </w:p>
        </w:tc>
        <w:tc>
          <w:tcPr>
            <w:tcW w:w="8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91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35</w:t>
            </w:r>
          </w:p>
        </w:tc>
        <w:tc>
          <w:tcPr>
            <w:tcW w:w="7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  <w:t>是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1.“双随机”监管清单占比是指“双随机”监管类型数与检查实施清单总数占比。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2.“联合检查占比”指“双随机”联合检查数与“双随机”监管类型数占比。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3.行政检查次数的统计范围为统计年度1月1日至12月31日期间开展行政检查的次数。检查1个检查对象，有完整、详细的检查记录，计为检查1次。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4.无特定检查对象的巡查、巡逻，无完整、详细检查记录，检查后作出行政处罚等其他行政执法行为的，均不计为检查次数。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</w:p>
    <w:sectPr>
      <w:headerReference r:id="rId9" w:type="first"/>
      <w:headerReference r:id="rId7" w:type="default"/>
      <w:headerReference r:id="rId8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0VmJ/SAAAAAgEAAA8AAAAAAAAAAQAgAAAAIgAA&#10;AGRycy9kb3ducmV2LnhtbFBLAQIUABQAAAAIAIdO4kCWCpdH1QEAAKADAAAOAAAAAAAAAAEAIAAA&#10;ACE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112" o:spid="_x0000_s4112" o:spt="136" type="#_x0000_t136" style="position:absolute;left:0pt;margin-left:0pt;margin-top:0pt;height:10pt;width:36pt;rotation:-2621440f;z-index:25166028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13" o:spid="_x0000_s4113" o:spt="136" type="#_x0000_t136" style="position:absolute;left:0pt;margin-left:0pt;margin-top:200pt;height:10pt;width:36pt;rotation:-2621440f;z-index:25166131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14" o:spid="_x0000_s4114" o:spt="136" type="#_x0000_t136" style="position:absolute;left:0pt;margin-left:0pt;margin-top:400pt;height:10pt;width:36pt;rotation:-2621440f;z-index:25166233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15" o:spid="_x0000_s4115" o:spt="136" type="#_x0000_t136" style="position:absolute;left:0pt;margin-left:0pt;margin-top:600pt;height:10pt;width:36pt;rotation:-2621440f;z-index:25166336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16" o:spid="_x0000_s4116" o:spt="136" type="#_x0000_t136" style="position:absolute;left:0pt;margin-left:0pt;margin-top:800pt;height:10pt;width:36pt;rotation:-2621440f;z-index:25166438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17" o:spid="_x0000_s4117" o:spt="136" type="#_x0000_t136" style="position:absolute;left:0pt;margin-left:200pt;margin-top:0pt;height:10pt;width:36pt;rotation:-2621440f;z-index:25166540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18" o:spid="_x0000_s4118" o:spt="136" type="#_x0000_t136" style="position:absolute;left:0pt;margin-left:200pt;margin-top:200pt;height:10pt;width:36pt;rotation:-2621440f;z-index:25166643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19" o:spid="_x0000_s4119" o:spt="136" type="#_x0000_t136" style="position:absolute;left:0pt;margin-left:200pt;margin-top:400pt;height:10pt;width:36pt;rotation:-2621440f;z-index:25166745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20" o:spid="_x0000_s4120" o:spt="136" type="#_x0000_t136" style="position:absolute;left:0pt;margin-left:200pt;margin-top:600pt;height:10pt;width:36pt;rotation:-2621440f;z-index:25166848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21" o:spid="_x0000_s4121" o:spt="136" type="#_x0000_t136" style="position:absolute;left:0pt;margin-left:200pt;margin-top:800pt;height:10pt;width:36pt;rotation:-2621440f;z-index:25166950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22" o:spid="_x0000_s4122" o:spt="136" type="#_x0000_t136" style="position:absolute;left:0pt;margin-left:400pt;margin-top:0pt;height:10pt;width:36pt;rotation:-2621440f;z-index:25167052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23" o:spid="_x0000_s4123" o:spt="136" type="#_x0000_t136" style="position:absolute;left:0pt;margin-left:400pt;margin-top:200pt;height:10pt;width:36pt;rotation:-2621440f;z-index:25167155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24" o:spid="_x0000_s4124" o:spt="136" type="#_x0000_t136" style="position:absolute;left:0pt;margin-left:400pt;margin-top:400pt;height:10pt;width:36pt;rotation:-2621440f;z-index:25167257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25" o:spid="_x0000_s4125" o:spt="136" type="#_x0000_t136" style="position:absolute;left:0pt;margin-left:400pt;margin-top:600pt;height:10pt;width:36pt;rotation:-2621440f;z-index:25167360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26" o:spid="_x0000_s4126" o:spt="136" type="#_x0000_t136" style="position:absolute;left:0pt;margin-left:400pt;margin-top:800pt;height:10pt;width:36pt;rotation:-2621440f;z-index:25167462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128" o:spid="_x0000_s4128" o:spt="136" type="#_x0000_t136" style="position:absolute;left:0pt;margin-left:0pt;margin-top:0pt;height:10pt;width:36pt;rotation:-2621440f;z-index:25169100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29" o:spid="_x0000_s4129" o:spt="136" type="#_x0000_t136" style="position:absolute;left:0pt;margin-left:0pt;margin-top:200pt;height:10pt;width:36pt;rotation:-2621440f;z-index:25169203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30" o:spid="_x0000_s4130" o:spt="136" type="#_x0000_t136" style="position:absolute;left:0pt;margin-left:0pt;margin-top:400pt;height:10pt;width:36pt;rotation:-2621440f;z-index:25169305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31" o:spid="_x0000_s4131" o:spt="136" type="#_x0000_t136" style="position:absolute;left:0pt;margin-left:0pt;margin-top:600pt;height:10pt;width:36pt;rotation:-2621440f;z-index:25169408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32" o:spid="_x0000_s4132" o:spt="136" type="#_x0000_t136" style="position:absolute;left:0pt;margin-left:0pt;margin-top:800pt;height:10pt;width:36pt;rotation:-2621440f;z-index:25169510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33" o:spid="_x0000_s4133" o:spt="136" type="#_x0000_t136" style="position:absolute;left:0pt;margin-left:200pt;margin-top:0pt;height:10pt;width:36pt;rotation:-2621440f;z-index:25169612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34" o:spid="_x0000_s4134" o:spt="136" type="#_x0000_t136" style="position:absolute;left:0pt;margin-left:200pt;margin-top:200pt;height:10pt;width:36pt;rotation:-2621440f;z-index:25169715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35" o:spid="_x0000_s4135" o:spt="136" type="#_x0000_t136" style="position:absolute;left:0pt;margin-left:200pt;margin-top:400pt;height:10pt;width:36pt;rotation:-2621440f;z-index:25169817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36" o:spid="_x0000_s4136" o:spt="136" type="#_x0000_t136" style="position:absolute;left:0pt;margin-left:200pt;margin-top:600pt;height:10pt;width:36pt;rotation:-2621440f;z-index:25169920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37" o:spid="_x0000_s4137" o:spt="136" type="#_x0000_t136" style="position:absolute;left:0pt;margin-left:200pt;margin-top:800pt;height:10pt;width:36pt;rotation:-2621440f;z-index:25170022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38" o:spid="_x0000_s4138" o:spt="136" type="#_x0000_t136" style="position:absolute;left:0pt;margin-left:400pt;margin-top:0pt;height:10pt;width:36pt;rotation:-2621440f;z-index:25170124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39" o:spid="_x0000_s4139" o:spt="136" type="#_x0000_t136" style="position:absolute;left:0pt;margin-left:400pt;margin-top:200pt;height:10pt;width:36pt;rotation:-2621440f;z-index:25170227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40" o:spid="_x0000_s4140" o:spt="136" type="#_x0000_t136" style="position:absolute;left:0pt;margin-left:400pt;margin-top:400pt;height:10pt;width:36pt;rotation:-2621440f;z-index:25170329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41" o:spid="_x0000_s4141" o:spt="136" type="#_x0000_t136" style="position:absolute;left:0pt;margin-left:400pt;margin-top:600pt;height:10pt;width:36pt;rotation:-2621440f;z-index:25170432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42" o:spid="_x0000_s4142" o:spt="136" type="#_x0000_t136" style="position:absolute;left:0pt;margin-left:400pt;margin-top:800pt;height:10pt;width:36pt;rotation:-2621440f;z-index:25170534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136" type="#_x0000_t136" style="position:absolute;left:0pt;margin-left:0pt;margin-top:0pt;height:10pt;width:36pt;rotation:-2621440f;z-index:25167564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098" o:spid="_x0000_s4098" o:spt="136" type="#_x0000_t136" style="position:absolute;left:0pt;margin-left:0pt;margin-top:200pt;height:10pt;width:36pt;rotation:-2621440f;z-index:25167667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099" o:spid="_x0000_s4099" o:spt="136" type="#_x0000_t136" style="position:absolute;left:0pt;margin-left:0pt;margin-top:400pt;height:10pt;width:36pt;rotation:-2621440f;z-index:25167769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00" o:spid="_x0000_s4100" o:spt="136" type="#_x0000_t136" style="position:absolute;left:0pt;margin-left:0pt;margin-top:600pt;height:10pt;width:36pt;rotation:-2621440f;z-index:25167872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01" o:spid="_x0000_s4101" o:spt="136" type="#_x0000_t136" style="position:absolute;left:0pt;margin-left:0pt;margin-top:800pt;height:10pt;width:36pt;rotation:-2621440f;z-index:25167974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02" o:spid="_x0000_s4102" o:spt="136" type="#_x0000_t136" style="position:absolute;left:0pt;margin-left:200pt;margin-top:0pt;height:10pt;width:36pt;rotation:-2621440f;z-index:25168076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03" o:spid="_x0000_s4103" o:spt="136" type="#_x0000_t136" style="position:absolute;left:0pt;margin-left:200pt;margin-top:200pt;height:10pt;width:36pt;rotation:-2621440f;z-index:25168179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04" o:spid="_x0000_s4104" o:spt="136" type="#_x0000_t136" style="position:absolute;left:0pt;margin-left:200pt;margin-top:400pt;height:10pt;width:36pt;rotation:-2621440f;z-index:25168281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05" o:spid="_x0000_s4105" o:spt="136" type="#_x0000_t136" style="position:absolute;left:0pt;margin-left:200pt;margin-top:600pt;height:10pt;width:36pt;rotation:-2621440f;z-index:25168384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06" o:spid="_x0000_s4106" o:spt="136" type="#_x0000_t136" style="position:absolute;left:0pt;margin-left:200pt;margin-top:800pt;height:10pt;width:36pt;rotation:-2621440f;z-index:25168486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07" o:spid="_x0000_s4107" o:spt="136" type="#_x0000_t136" style="position:absolute;left:0pt;margin-left:400pt;margin-top:0pt;height:10pt;width:36pt;rotation:-2621440f;z-index:25168588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08" o:spid="_x0000_s4108" o:spt="136" type="#_x0000_t136" style="position:absolute;left:0pt;margin-left:400pt;margin-top:200pt;height:10pt;width:36pt;rotation:-2621440f;z-index:25168691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09" o:spid="_x0000_s4109" o:spt="136" type="#_x0000_t136" style="position:absolute;left:0pt;margin-left:400pt;margin-top:400pt;height:10pt;width:36pt;rotation:-2621440f;z-index:25168793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10" o:spid="_x0000_s4110" o:spt="136" type="#_x0000_t136" style="position:absolute;left:0pt;margin-left:400pt;margin-top:600pt;height:10pt;width:36pt;rotation:-2621440f;z-index:25168896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11" o:spid="_x0000_s4111" o:spt="136" type="#_x0000_t136" style="position:absolute;left:0pt;margin-left:400pt;margin-top:800pt;height:10pt;width:36pt;rotation:-2621440f;z-index:25168998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158" o:spid="_x0000_s4158" o:spt="136" type="#_x0000_t136" style="position:absolute;left:0pt;margin-left:0pt;margin-top:0pt;height:10pt;width:36pt;rotation:-2621440f;z-index:25170636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59" o:spid="_x0000_s4159" o:spt="136" type="#_x0000_t136" style="position:absolute;left:0pt;margin-left:0pt;margin-top:200pt;height:10pt;width:36pt;rotation:-2621440f;z-index:25170739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60" o:spid="_x0000_s4160" o:spt="136" type="#_x0000_t136" style="position:absolute;left:0pt;margin-left:0pt;margin-top:400pt;height:10pt;width:36pt;rotation:-2621440f;z-index:25170841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61" o:spid="_x0000_s4161" o:spt="136" type="#_x0000_t136" style="position:absolute;left:0pt;margin-left:0pt;margin-top:600pt;height:10pt;width:36pt;rotation:-2621440f;z-index:25170944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62" o:spid="_x0000_s4162" o:spt="136" type="#_x0000_t136" style="position:absolute;left:0pt;margin-left:0pt;margin-top:800pt;height:10pt;width:36pt;rotation:-2621440f;z-index:25171046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63" o:spid="_x0000_s4163" o:spt="136" type="#_x0000_t136" style="position:absolute;left:0pt;margin-left:200pt;margin-top:0pt;height:10pt;width:36pt;rotation:-2621440f;z-index:25171148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64" o:spid="_x0000_s4164" o:spt="136" type="#_x0000_t136" style="position:absolute;left:0pt;margin-left:200pt;margin-top:200pt;height:10pt;width:36pt;rotation:-2621440f;z-index:25171251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65" o:spid="_x0000_s4165" o:spt="136" type="#_x0000_t136" style="position:absolute;left:0pt;margin-left:200pt;margin-top:400pt;height:10pt;width:36pt;rotation:-2621440f;z-index:25171353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66" o:spid="_x0000_s4166" o:spt="136" type="#_x0000_t136" style="position:absolute;left:0pt;margin-left:200pt;margin-top:600pt;height:10pt;width:36pt;rotation:-2621440f;z-index:25171456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67" o:spid="_x0000_s4167" o:spt="136" type="#_x0000_t136" style="position:absolute;left:0pt;margin-left:200pt;margin-top:800pt;height:10pt;width:36pt;rotation:-2621440f;z-index:25171558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68" o:spid="_x0000_s4168" o:spt="136" type="#_x0000_t136" style="position:absolute;left:0pt;margin-left:400pt;margin-top:0pt;height:10pt;width:36pt;rotation:-2621440f;z-index:25171660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69" o:spid="_x0000_s4169" o:spt="136" type="#_x0000_t136" style="position:absolute;left:0pt;margin-left:400pt;margin-top:200pt;height:10pt;width:36pt;rotation:-2621440f;z-index:25171763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70" o:spid="_x0000_s4170" o:spt="136" type="#_x0000_t136" style="position:absolute;left:0pt;margin-left:400pt;margin-top:400pt;height:10pt;width:36pt;rotation:-2621440f;z-index:25171865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71" o:spid="_x0000_s4171" o:spt="136" type="#_x0000_t136" style="position:absolute;left:0pt;margin-left:400pt;margin-top:600pt;height:10pt;width:36pt;rotation:-2621440f;z-index:25171968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72" o:spid="_x0000_s4172" o:spt="136" type="#_x0000_t136" style="position:absolute;left:0pt;margin-left:400pt;margin-top:800pt;height:10pt;width:36pt;rotation:-2621440f;z-index:25172070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173" o:spid="_x0000_s4173" o:spt="136" type="#_x0000_t136" style="position:absolute;left:0pt;margin-left:0pt;margin-top:0pt;height:10pt;width:36pt;rotation:-2621440f;z-index:25173708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74" o:spid="_x0000_s4174" o:spt="136" type="#_x0000_t136" style="position:absolute;left:0pt;margin-left:0pt;margin-top:200pt;height:10pt;width:36pt;rotation:-2621440f;z-index:25173811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75" o:spid="_x0000_s4175" o:spt="136" type="#_x0000_t136" style="position:absolute;left:0pt;margin-left:0pt;margin-top:400pt;height:10pt;width:36pt;rotation:-2621440f;z-index:25173913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76" o:spid="_x0000_s4176" o:spt="136" type="#_x0000_t136" style="position:absolute;left:0pt;margin-left:0pt;margin-top:600pt;height:10pt;width:36pt;rotation:-2621440f;z-index:25174016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77" o:spid="_x0000_s4177" o:spt="136" type="#_x0000_t136" style="position:absolute;left:0pt;margin-left:0pt;margin-top:800pt;height:10pt;width:36pt;rotation:-2621440f;z-index:25174118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78" o:spid="_x0000_s4178" o:spt="136" type="#_x0000_t136" style="position:absolute;left:0pt;margin-left:200pt;margin-top:0pt;height:10pt;width:36pt;rotation:-2621440f;z-index:25174220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79" o:spid="_x0000_s4179" o:spt="136" type="#_x0000_t136" style="position:absolute;left:0pt;margin-left:200pt;margin-top:200pt;height:10pt;width:36pt;rotation:-2621440f;z-index:25174323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80" o:spid="_x0000_s4180" o:spt="136" type="#_x0000_t136" style="position:absolute;left:0pt;margin-left:200pt;margin-top:400pt;height:10pt;width:36pt;rotation:-2621440f;z-index:25174425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81" o:spid="_x0000_s4181" o:spt="136" type="#_x0000_t136" style="position:absolute;left:0pt;margin-left:200pt;margin-top:600pt;height:10pt;width:36pt;rotation:-2621440f;z-index:25174528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82" o:spid="_x0000_s4182" o:spt="136" type="#_x0000_t136" style="position:absolute;left:0pt;margin-left:200pt;margin-top:800pt;height:10pt;width:36pt;rotation:-2621440f;z-index:25174630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83" o:spid="_x0000_s4183" o:spt="136" type="#_x0000_t136" style="position:absolute;left:0pt;margin-left:400pt;margin-top:0pt;height:10pt;width:36pt;rotation:-2621440f;z-index:25174732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84" o:spid="_x0000_s4184" o:spt="136" type="#_x0000_t136" style="position:absolute;left:0pt;margin-left:400pt;margin-top:200pt;height:10pt;width:36pt;rotation:-2621440f;z-index:25174835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85" o:spid="_x0000_s4185" o:spt="136" type="#_x0000_t136" style="position:absolute;left:0pt;margin-left:400pt;margin-top:400pt;height:10pt;width:36pt;rotation:-2621440f;z-index:25174937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86" o:spid="_x0000_s4186" o:spt="136" type="#_x0000_t136" style="position:absolute;left:0pt;margin-left:400pt;margin-top:600pt;height:10pt;width:36pt;rotation:-2621440f;z-index:25175040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87" o:spid="_x0000_s4187" o:spt="136" type="#_x0000_t136" style="position:absolute;left:0pt;margin-left:400pt;margin-top:800pt;height:10pt;width:36pt;rotation:-2621440f;z-index:25175142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143" o:spid="_x0000_s4143" o:spt="136" type="#_x0000_t136" style="position:absolute;left:0pt;margin-left:0pt;margin-top:0pt;height:10pt;width:36pt;rotation:-2621440f;z-index:25172172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44" o:spid="_x0000_s4144" o:spt="136" type="#_x0000_t136" style="position:absolute;left:0pt;margin-left:0pt;margin-top:200pt;height:10pt;width:36pt;rotation:-2621440f;z-index:25172275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45" o:spid="_x0000_s4145" o:spt="136" type="#_x0000_t136" style="position:absolute;left:0pt;margin-left:0pt;margin-top:400pt;height:10pt;width:36pt;rotation:-2621440f;z-index:25172377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46" o:spid="_x0000_s4146" o:spt="136" type="#_x0000_t136" style="position:absolute;left:0pt;margin-left:0pt;margin-top:600pt;height:10pt;width:36pt;rotation:-2621440f;z-index:25172480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47" o:spid="_x0000_s4147" o:spt="136" type="#_x0000_t136" style="position:absolute;left:0pt;margin-left:0pt;margin-top:800pt;height:10pt;width:36pt;rotation:-2621440f;z-index:25172582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48" o:spid="_x0000_s4148" o:spt="136" type="#_x0000_t136" style="position:absolute;left:0pt;margin-left:200pt;margin-top:0pt;height:10pt;width:36pt;rotation:-2621440f;z-index:25172684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49" o:spid="_x0000_s4149" o:spt="136" type="#_x0000_t136" style="position:absolute;left:0pt;margin-left:200pt;margin-top:200pt;height:10pt;width:36pt;rotation:-2621440f;z-index:25172787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50" o:spid="_x0000_s4150" o:spt="136" type="#_x0000_t136" style="position:absolute;left:0pt;margin-left:200pt;margin-top:400pt;height:10pt;width:36pt;rotation:-2621440f;z-index:25172889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51" o:spid="_x0000_s4151" o:spt="136" type="#_x0000_t136" style="position:absolute;left:0pt;margin-left:200pt;margin-top:600pt;height:10pt;width:36pt;rotation:-2621440f;z-index:25172992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52" o:spid="_x0000_s4152" o:spt="136" type="#_x0000_t136" style="position:absolute;left:0pt;margin-left:200pt;margin-top:800pt;height:10pt;width:36pt;rotation:-2621440f;z-index:25173094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53" o:spid="_x0000_s4153" o:spt="136" type="#_x0000_t136" style="position:absolute;left:0pt;margin-left:400pt;margin-top:0pt;height:10pt;width:36pt;rotation:-2621440f;z-index:251731968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54" o:spid="_x0000_s4154" o:spt="136" type="#_x0000_t136" style="position:absolute;left:0pt;margin-left:400pt;margin-top:200pt;height:10pt;width:36pt;rotation:-2621440f;z-index:251732992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55" o:spid="_x0000_s4155" o:spt="136" type="#_x0000_t136" style="position:absolute;left:0pt;margin-left:400pt;margin-top:400pt;height:10pt;width:36pt;rotation:-2621440f;z-index:251734016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56" o:spid="_x0000_s4156" o:spt="136" type="#_x0000_t136" style="position:absolute;left:0pt;margin-left:400pt;margin-top:600pt;height:10pt;width:36pt;rotation:-2621440f;z-index:251735040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  <w:r>
      <w:pict>
        <v:shape id="_x0000_s4157" o:spid="_x0000_s4157" o:spt="136" type="#_x0000_t136" style="position:absolute;left:0pt;margin-left:400pt;margin-top:800pt;height:10pt;width:36pt;rotation:-2621440f;z-index:251736064;mso-width-relative:page;mso-height-relative:page;" stroked="t" coordsize="21600,21600">
          <v:path/>
          <v:fill focussize="0,0"/>
          <v:stroke weight="0.1pt" color="#F0F0F0"/>
          <v:imagedata o:title=""/>
          <o:lock v:ext="edit"/>
          <v:textpath on="t" fitshape="t" fitpath="t" trim="f" xscale="f" string="章贡生态环境局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NGM2OGE0OGViZjFjNWU2N2ZkMTk1OTY2OWE5NWUifQ=="/>
  </w:docVars>
  <w:rsids>
    <w:rsidRoot w:val="00172A27"/>
    <w:rsid w:val="004F7483"/>
    <w:rsid w:val="009823C4"/>
    <w:rsid w:val="00A27454"/>
    <w:rsid w:val="00A45818"/>
    <w:rsid w:val="00C40389"/>
    <w:rsid w:val="01C267E4"/>
    <w:rsid w:val="040363FD"/>
    <w:rsid w:val="09C91E87"/>
    <w:rsid w:val="0A474359"/>
    <w:rsid w:val="0BFD1363"/>
    <w:rsid w:val="14C36CD2"/>
    <w:rsid w:val="166E7690"/>
    <w:rsid w:val="208601A3"/>
    <w:rsid w:val="25E1520A"/>
    <w:rsid w:val="27C93A05"/>
    <w:rsid w:val="2BE06290"/>
    <w:rsid w:val="2C26606D"/>
    <w:rsid w:val="2F5BF220"/>
    <w:rsid w:val="33FD7B69"/>
    <w:rsid w:val="37D1922E"/>
    <w:rsid w:val="3D1F4E24"/>
    <w:rsid w:val="405A189E"/>
    <w:rsid w:val="46A20C3F"/>
    <w:rsid w:val="4C6F0802"/>
    <w:rsid w:val="50151DD1"/>
    <w:rsid w:val="55286235"/>
    <w:rsid w:val="5CEF5F2B"/>
    <w:rsid w:val="5F74F1D0"/>
    <w:rsid w:val="5FEDE5BF"/>
    <w:rsid w:val="639F5FB2"/>
    <w:rsid w:val="676015F4"/>
    <w:rsid w:val="6F662D58"/>
    <w:rsid w:val="6FEBAE43"/>
    <w:rsid w:val="77F04CC8"/>
    <w:rsid w:val="7B4FB54C"/>
    <w:rsid w:val="7D565D1B"/>
    <w:rsid w:val="BF5E9905"/>
    <w:rsid w:val="BFFB003E"/>
    <w:rsid w:val="CC5D33E3"/>
    <w:rsid w:val="DFDEF9E5"/>
    <w:rsid w:val="DFFFFAE4"/>
    <w:rsid w:val="E3FF0F4A"/>
    <w:rsid w:val="F3FF1D9F"/>
    <w:rsid w:val="F7CDE48D"/>
    <w:rsid w:val="FF46E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6">
    <w:name w:val="Body Text"/>
    <w:basedOn w:val="1"/>
    <w:qFormat/>
    <w:uiPriority w:val="0"/>
    <w:pPr>
      <w:ind w:left="100" w:leftChars="100" w:right="100" w:rightChars="1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12"/>
    <customShpInfo spid="_x0000_s4113"/>
    <customShpInfo spid="_x0000_s4114"/>
    <customShpInfo spid="_x0000_s4115"/>
    <customShpInfo spid="_x0000_s4116"/>
    <customShpInfo spid="_x0000_s4117"/>
    <customShpInfo spid="_x0000_s4118"/>
    <customShpInfo spid="_x0000_s4119"/>
    <customShpInfo spid="_x0000_s4120"/>
    <customShpInfo spid="_x0000_s4121"/>
    <customShpInfo spid="_x0000_s4122"/>
    <customShpInfo spid="_x0000_s4123"/>
    <customShpInfo spid="_x0000_s4124"/>
    <customShpInfo spid="_x0000_s4125"/>
    <customShpInfo spid="_x0000_s4126"/>
    <customShpInfo spid="_x0000_s4128"/>
    <customShpInfo spid="_x0000_s4129"/>
    <customShpInfo spid="_x0000_s4130"/>
    <customShpInfo spid="_x0000_s4131"/>
    <customShpInfo spid="_x0000_s4132"/>
    <customShpInfo spid="_x0000_s4133"/>
    <customShpInfo spid="_x0000_s4134"/>
    <customShpInfo spid="_x0000_s4135"/>
    <customShpInfo spid="_x0000_s4136"/>
    <customShpInfo spid="_x0000_s4137"/>
    <customShpInfo spid="_x0000_s4138"/>
    <customShpInfo spid="_x0000_s4139"/>
    <customShpInfo spid="_x0000_s4140"/>
    <customShpInfo spid="_x0000_s4141"/>
    <customShpInfo spid="_x0000_s4142"/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4103"/>
    <customShpInfo spid="_x0000_s4104"/>
    <customShpInfo spid="_x0000_s4105"/>
    <customShpInfo spid="_x0000_s4106"/>
    <customShpInfo spid="_x0000_s4107"/>
    <customShpInfo spid="_x0000_s4108"/>
    <customShpInfo spid="_x0000_s4109"/>
    <customShpInfo spid="_x0000_s4110"/>
    <customShpInfo spid="_x0000_s4111"/>
    <customShpInfo spid="_x0000_s1026"/>
    <customShpInfo spid="_x0000_s4158"/>
    <customShpInfo spid="_x0000_s4159"/>
    <customShpInfo spid="_x0000_s4160"/>
    <customShpInfo spid="_x0000_s4161"/>
    <customShpInfo spid="_x0000_s4162"/>
    <customShpInfo spid="_x0000_s4163"/>
    <customShpInfo spid="_x0000_s4164"/>
    <customShpInfo spid="_x0000_s4165"/>
    <customShpInfo spid="_x0000_s4166"/>
    <customShpInfo spid="_x0000_s4167"/>
    <customShpInfo spid="_x0000_s4168"/>
    <customShpInfo spid="_x0000_s4169"/>
    <customShpInfo spid="_x0000_s4170"/>
    <customShpInfo spid="_x0000_s4171"/>
    <customShpInfo spid="_x0000_s4172"/>
    <customShpInfo spid="_x0000_s4173"/>
    <customShpInfo spid="_x0000_s4174"/>
    <customShpInfo spid="_x0000_s4175"/>
    <customShpInfo spid="_x0000_s4176"/>
    <customShpInfo spid="_x0000_s4177"/>
    <customShpInfo spid="_x0000_s4178"/>
    <customShpInfo spid="_x0000_s4179"/>
    <customShpInfo spid="_x0000_s4180"/>
    <customShpInfo spid="_x0000_s4181"/>
    <customShpInfo spid="_x0000_s4182"/>
    <customShpInfo spid="_x0000_s4183"/>
    <customShpInfo spid="_x0000_s4184"/>
    <customShpInfo spid="_x0000_s4185"/>
    <customShpInfo spid="_x0000_s4186"/>
    <customShpInfo spid="_x0000_s4187"/>
    <customShpInfo spid="_x0000_s4143"/>
    <customShpInfo spid="_x0000_s4144"/>
    <customShpInfo spid="_x0000_s4145"/>
    <customShpInfo spid="_x0000_s4146"/>
    <customShpInfo spid="_x0000_s4147"/>
    <customShpInfo spid="_x0000_s4148"/>
    <customShpInfo spid="_x0000_s4149"/>
    <customShpInfo spid="_x0000_s4150"/>
    <customShpInfo spid="_x0000_s4151"/>
    <customShpInfo spid="_x0000_s4152"/>
    <customShpInfo spid="_x0000_s4153"/>
    <customShpInfo spid="_x0000_s4154"/>
    <customShpInfo spid="_x0000_s4155"/>
    <customShpInfo spid="_x0000_s4156"/>
    <customShpInfo spid="_x0000_s41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2554</Words>
  <Characters>2671</Characters>
  <Lines>22</Lines>
  <Paragraphs>6</Paragraphs>
  <TotalTime>360</TotalTime>
  <ScaleCrop>false</ScaleCrop>
  <LinksUpToDate>false</LinksUpToDate>
  <CharactersWithSpaces>2671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2023-01-13T02:45:00Z</dcterms:created>
  <dc:creator>cfy</dc:creator>
  <cp:lastModifiedBy>fml</cp:lastModifiedBy>
  <cp:lastPrinted>2023-01-18T02:46:00Z</cp:lastPrinted>
  <dcterms:modified xsi:type="dcterms:W3CDTF">2023-01-18T07:24:49Z</dcterms:modified>
  <dc:title>微软用户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8E620502E07548D1A0BA852F40A9C398</vt:lpwstr>
  </property>
  <property fmtid="{D5CDD505-2E9C-101B-9397-08002B2CF9AE}" pid="3" name="KSOProductBuildVer">
    <vt:lpwstr>2052-11.1.0.12980</vt:lpwstr>
  </property>
</Properties>
</file>