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关于对</w:t>
      </w:r>
      <w:r>
        <w:rPr>
          <w:rFonts w:hint="default" w:ascii="方正小标宋简体" w:hAnsi="方正小标宋简体" w:eastAsia="方正小标宋简体" w:cs="方正小标宋简体"/>
          <w:b w:val="0"/>
          <w:bCs w:val="0"/>
          <w:color w:val="000000"/>
          <w:kern w:val="0"/>
          <w:sz w:val="36"/>
          <w:szCs w:val="36"/>
          <w:lang w:val="zh-CN" w:eastAsia="zh-CN"/>
        </w:rPr>
        <w:t>赣江虔东磁业有限公司高性能铁氧体永磁材料项目</w:t>
      </w:r>
      <w:r>
        <w:rPr>
          <w:rFonts w:hint="eastAsia" w:ascii="方正小标宋简体" w:hAnsi="方正小标宋简体" w:eastAsia="方正小标宋简体" w:cs="方正小标宋简体"/>
          <w:b w:val="0"/>
          <w:bCs w:val="0"/>
          <w:color w:val="000000"/>
          <w:kern w:val="0"/>
          <w:sz w:val="36"/>
          <w:szCs w:val="36"/>
          <w:lang w:val="zh-CN" w:eastAsia="zh-CN"/>
        </w:rPr>
        <w:t>（</w:t>
      </w:r>
      <w:r>
        <w:rPr>
          <w:rFonts w:hint="eastAsia" w:ascii="方正小标宋简体" w:hAnsi="方正小标宋简体" w:eastAsia="方正小标宋简体" w:cs="方正小标宋简体"/>
          <w:b w:val="0"/>
          <w:bCs w:val="0"/>
          <w:color w:val="000000"/>
          <w:kern w:val="0"/>
          <w:sz w:val="36"/>
          <w:szCs w:val="36"/>
          <w:lang w:val="en-US" w:eastAsia="zh-CN"/>
        </w:rPr>
        <w:t>一期）</w:t>
      </w:r>
      <w:r>
        <w:rPr>
          <w:rFonts w:hint="eastAsia" w:ascii="方正小标宋简体" w:hAnsi="方正小标宋简体" w:eastAsia="方正小标宋简体" w:cs="方正小标宋简体"/>
          <w:sz w:val="36"/>
          <w:szCs w:val="36"/>
        </w:rPr>
        <w:t>环境影响评价文件拟作出批复决定的公示</w:t>
      </w:r>
    </w:p>
    <w:p>
      <w:pPr>
        <w:spacing w:line="520" w:lineRule="atLeast"/>
        <w:rPr>
          <w:rFonts w:hint="eastAsia" w:ascii="仿宋_GB2312" w:hAnsi="仿宋_GB2312" w:eastAsia="仿宋_GB2312" w:cs="仿宋_GB2312"/>
          <w:sz w:val="32"/>
          <w:szCs w:val="32"/>
        </w:rPr>
      </w:pPr>
    </w:p>
    <w:p>
      <w:pPr>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根据建设项目环境影响评价审批程序的有关规定，经审议，我局拟对《</w:t>
      </w:r>
      <w:r>
        <w:rPr>
          <w:rFonts w:hint="default" w:ascii="仿宋_GB2312" w:hAnsi="仿宋_GB2312" w:eastAsia="仿宋_GB2312" w:cs="仿宋_GB2312"/>
          <w:sz w:val="32"/>
          <w:szCs w:val="32"/>
          <w:lang w:val="zh-CN" w:eastAsia="zh-CN"/>
        </w:rPr>
        <w:t>赣江虔东磁业有限公司高性能铁氧体永磁材料项目</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一期）</w:t>
      </w:r>
      <w:r>
        <w:rPr>
          <w:rFonts w:hint="eastAsia" w:ascii="仿宋_GB2312" w:hAnsi="仿宋_GB2312" w:eastAsia="仿宋_GB2312" w:cs="仿宋_GB2312"/>
          <w:sz w:val="32"/>
          <w:szCs w:val="32"/>
        </w:rPr>
        <w:t>环境影响报告表》作出批复决定。为保证此次审议工作的严肃性和公正性，现将该项目环境影响评价文件基本情况予以公示（内容摘自环境影响评价文件）。公示期为202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日（5个工作日）。</w:t>
      </w:r>
    </w:p>
    <w:p>
      <w:pPr>
        <w:spacing w:line="5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听证告知：依据《中华人民共和国行政许可法》，自公告起五日内申请人、利害关系人可对上述拟作出建设项目环境影响评价文件批复决定要求听证。</w:t>
      </w:r>
    </w:p>
    <w:p>
      <w:pPr>
        <w:spacing w:line="5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联系电话：0797－8685056</w:t>
      </w:r>
    </w:p>
    <w:p>
      <w:pPr>
        <w:spacing w:line="5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通讯地址：赣州市章贡生态环境局综合协调股</w:t>
      </w:r>
    </w:p>
    <w:p>
      <w:pPr>
        <w:spacing w:line="520" w:lineRule="atLeast"/>
        <w:rPr>
          <w:rFonts w:ascii="仿宋_GB2312" w:hAnsi="仿宋_GB2312" w:eastAsia="仿宋_GB2312" w:cs="仿宋_GB2312"/>
          <w:sz w:val="32"/>
          <w:szCs w:val="32"/>
        </w:rPr>
      </w:pPr>
    </w:p>
    <w:p>
      <w:pPr>
        <w:spacing w:line="520" w:lineRule="atLeast"/>
        <w:ind w:left="4160" w:hanging="4160" w:hangingChars="1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赣州市章贡生态环境局</w:t>
      </w:r>
    </w:p>
    <w:p>
      <w:pPr>
        <w:spacing w:line="520" w:lineRule="atLeas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13"/>
        <w:tblpPr w:leftFromText="180" w:rightFromText="180" w:vertAnchor="text" w:horzAnchor="page" w:tblpX="1785"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9"/>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c>
        <w:tc>
          <w:tcPr>
            <w:tcW w:w="6623" w:type="dxa"/>
            <w:vAlign w:val="center"/>
          </w:tcPr>
          <w:p>
            <w:pPr>
              <w:spacing w:line="440" w:lineRule="atLeast"/>
              <w:jc w:val="left"/>
              <w:rPr>
                <w:rFonts w:hint="eastAsia" w:ascii="仿宋_GB2312" w:hAnsi="仿宋_GB2312" w:eastAsia="仿宋_GB2312" w:cs="仿宋_GB2312"/>
                <w:sz w:val="24"/>
              </w:rPr>
            </w:pPr>
            <w:r>
              <w:rPr>
                <w:rFonts w:hint="default" w:ascii="仿宋_GB2312" w:hAnsi="仿宋_GB2312" w:eastAsia="仿宋_GB2312" w:cs="仿宋_GB2312"/>
                <w:sz w:val="24"/>
                <w:lang w:val="zh-CN" w:eastAsia="zh-CN"/>
              </w:rPr>
              <w:t>赣江虔东磁业有限公司高性能铁氧体永磁材料项目</w:t>
            </w:r>
            <w:r>
              <w:rPr>
                <w:rFonts w:hint="eastAsia" w:ascii="仿宋_GB2312" w:hAnsi="仿宋_GB2312" w:eastAsia="仿宋_GB2312" w:cs="仿宋_GB2312"/>
                <w:sz w:val="24"/>
                <w:lang w:val="zh-CN" w:eastAsia="zh-CN"/>
              </w:rPr>
              <w:t>（</w:t>
            </w:r>
            <w:r>
              <w:rPr>
                <w:rFonts w:hint="eastAsia" w:ascii="仿宋_GB2312" w:hAnsi="仿宋_GB2312" w:eastAsia="仿宋_GB2312" w:cs="仿宋_GB2312"/>
                <w:sz w:val="24"/>
                <w:lang w:val="en-US" w:eastAsia="zh-CN"/>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建设地点</w:t>
            </w:r>
          </w:p>
        </w:tc>
        <w:tc>
          <w:tcPr>
            <w:tcW w:w="6623" w:type="dxa"/>
            <w:vAlign w:val="center"/>
          </w:tcPr>
          <w:p>
            <w:pPr>
              <w:spacing w:line="440" w:lineRule="atLeast"/>
              <w:jc w:val="left"/>
              <w:rPr>
                <w:rFonts w:hint="eastAsia" w:ascii="仿宋_GB2312" w:hAnsi="仿宋_GB2312" w:eastAsia="仿宋_GB2312" w:cs="仿宋_GB2312"/>
                <w:sz w:val="24"/>
                <w:lang w:eastAsia="zh-CN"/>
              </w:rPr>
            </w:pPr>
            <w:r>
              <w:rPr>
                <w:rFonts w:hint="default" w:ascii="仿宋_GB2312" w:hAnsi="仿宋_GB2312" w:eastAsia="仿宋_GB2312" w:cs="仿宋_GB2312"/>
                <w:sz w:val="24"/>
                <w:lang w:val="zh-CN" w:eastAsia="zh-CN"/>
              </w:rPr>
              <w:t>江西省赣州市章贡区</w:t>
            </w:r>
            <w:r>
              <w:rPr>
                <w:rFonts w:hint="default" w:ascii="仿宋_GB2312" w:hAnsi="仿宋_GB2312" w:eastAsia="仿宋_GB2312" w:cs="仿宋_GB2312"/>
                <w:sz w:val="24"/>
                <w:lang w:val="en-US" w:eastAsia="zh-CN"/>
              </w:rPr>
              <w:t>章贡高新技术产业园区水西园区</w:t>
            </w:r>
            <w:r>
              <w:rPr>
                <w:rFonts w:hint="eastAsia" w:ascii="仿宋_GB2312" w:hAnsi="仿宋_GB2312" w:eastAsia="仿宋_GB2312" w:cs="仿宋_GB2312"/>
                <w:sz w:val="24"/>
                <w:lang w:val="en-US" w:eastAsia="zh-CN"/>
              </w:rPr>
              <w:t>（地理位置：</w:t>
            </w:r>
            <w:r>
              <w:rPr>
                <w:rFonts w:hint="default" w:ascii="仿宋_GB2312" w:hAnsi="仿宋_GB2312" w:eastAsia="仿宋_GB2312" w:cs="仿宋_GB2312"/>
                <w:sz w:val="24"/>
                <w:lang w:val="en-US" w:eastAsia="zh-CN"/>
              </w:rPr>
              <w:t>114度56分11.399秒，25度56分21.654秒</w:t>
            </w:r>
            <w:r>
              <w:rPr>
                <w:rFonts w:hint="eastAsia" w:ascii="仿宋_GB2312" w:hAnsi="仿宋_GB2312" w:eastAsia="仿宋_GB2312" w:cs="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建设单位</w:t>
            </w:r>
          </w:p>
        </w:tc>
        <w:tc>
          <w:tcPr>
            <w:tcW w:w="6623" w:type="dxa"/>
            <w:vAlign w:val="center"/>
          </w:tcPr>
          <w:p>
            <w:pPr>
              <w:spacing w:line="440" w:lineRule="atLeast"/>
              <w:jc w:val="left"/>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zh-CN" w:eastAsia="zh-CN"/>
              </w:rPr>
              <w:t>赣江虔东磁业有限公司</w:t>
            </w:r>
          </w:p>
          <w:p>
            <w:pPr>
              <w:spacing w:line="440" w:lineRule="atLeas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环评机构</w:t>
            </w:r>
          </w:p>
        </w:tc>
        <w:tc>
          <w:tcPr>
            <w:tcW w:w="6623"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赣州科净环保工程技术有限公司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建设项目</w:t>
            </w:r>
          </w:p>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概况</w:t>
            </w:r>
          </w:p>
        </w:tc>
        <w:tc>
          <w:tcPr>
            <w:tcW w:w="6623" w:type="dxa"/>
            <w:vAlign w:val="center"/>
          </w:tcPr>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（1）项目名称：</w:t>
            </w:r>
            <w:r>
              <w:rPr>
                <w:rFonts w:hint="default" w:ascii="仿宋_GB2312" w:hAnsi="仿宋_GB2312" w:eastAsia="仿宋_GB2312" w:cs="仿宋_GB2312"/>
                <w:sz w:val="24"/>
                <w:lang w:val="zh-CN" w:eastAsia="zh-CN"/>
              </w:rPr>
              <w:t>赣江虔东磁业有限公司高性能铁氧体永磁材料项目</w:t>
            </w:r>
            <w:r>
              <w:rPr>
                <w:rFonts w:hint="eastAsia" w:ascii="仿宋_GB2312" w:hAnsi="仿宋_GB2312" w:eastAsia="仿宋_GB2312" w:cs="仿宋_GB2312"/>
                <w:sz w:val="24"/>
                <w:lang w:val="zh-CN" w:eastAsia="zh-CN"/>
              </w:rPr>
              <w:t>（</w:t>
            </w:r>
            <w:r>
              <w:rPr>
                <w:rFonts w:hint="eastAsia" w:ascii="仿宋_GB2312" w:hAnsi="仿宋_GB2312" w:eastAsia="仿宋_GB2312" w:cs="仿宋_GB2312"/>
                <w:sz w:val="24"/>
                <w:lang w:val="en-US" w:eastAsia="zh-CN"/>
              </w:rPr>
              <w:t>一期）</w:t>
            </w:r>
            <w:r>
              <w:rPr>
                <w:rFonts w:hint="eastAsia" w:ascii="仿宋_GB2312" w:hAnsi="仿宋_GB2312" w:eastAsia="仿宋_GB2312" w:cs="仿宋_GB2312"/>
                <w:sz w:val="24"/>
              </w:rPr>
              <w:t>；</w:t>
            </w:r>
          </w:p>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（2）建设单位：</w:t>
            </w:r>
            <w:r>
              <w:rPr>
                <w:rFonts w:hint="default" w:ascii="仿宋_GB2312" w:hAnsi="仿宋_GB2312" w:eastAsia="仿宋_GB2312" w:cs="仿宋_GB2312"/>
                <w:sz w:val="24"/>
                <w:lang w:val="zh-CN" w:eastAsia="zh-CN"/>
              </w:rPr>
              <w:t>赣江虔东磁业有限公司</w:t>
            </w:r>
            <w:r>
              <w:rPr>
                <w:rFonts w:hint="eastAsia" w:ascii="仿宋_GB2312" w:hAnsi="仿宋_GB2312" w:eastAsia="仿宋_GB2312" w:cs="仿宋_GB2312"/>
                <w:sz w:val="24"/>
              </w:rPr>
              <w:t>；</w:t>
            </w:r>
          </w:p>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（3）建设性质：新建</w:t>
            </w:r>
            <w:r>
              <w:rPr>
                <w:rFonts w:hint="eastAsia" w:ascii="仿宋_GB2312" w:hAnsi="仿宋_GB2312" w:eastAsia="仿宋_GB2312" w:cs="仿宋_GB2312"/>
                <w:sz w:val="24"/>
                <w:lang w:eastAsia="zh-CN"/>
              </w:rPr>
              <w:t>（迁建）</w:t>
            </w:r>
            <w:r>
              <w:rPr>
                <w:rFonts w:hint="eastAsia" w:ascii="仿宋_GB2312" w:hAnsi="仿宋_GB2312" w:eastAsia="仿宋_GB2312" w:cs="仿宋_GB2312"/>
                <w:sz w:val="24"/>
              </w:rPr>
              <w:t>；</w:t>
            </w:r>
          </w:p>
          <w:p>
            <w:pPr>
              <w:spacing w:line="4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（4）项目总投资：</w:t>
            </w:r>
            <w:r>
              <w:rPr>
                <w:rFonts w:hint="eastAsia" w:ascii="仿宋_GB2312" w:hAnsi="仿宋_GB2312" w:eastAsia="仿宋_GB2312" w:cs="仿宋_GB2312"/>
                <w:sz w:val="24"/>
                <w:lang w:val="en-US" w:eastAsia="zh-CN"/>
              </w:rPr>
              <w:t>2000</w:t>
            </w:r>
            <w:r>
              <w:rPr>
                <w:rFonts w:hint="eastAsia" w:ascii="仿宋_GB2312" w:hAnsi="仿宋_GB2312" w:eastAsia="仿宋_GB2312" w:cs="仿宋_GB2312"/>
                <w:sz w:val="24"/>
              </w:rPr>
              <w:t>万元人民币，其中环保投资</w:t>
            </w:r>
            <w:r>
              <w:rPr>
                <w:rFonts w:hint="eastAsia" w:ascii="仿宋_GB2312" w:hAnsi="仿宋_GB2312" w:eastAsia="仿宋_GB2312" w:cs="仿宋_GB2312"/>
                <w:sz w:val="24"/>
                <w:lang w:val="en-US" w:eastAsia="zh-CN"/>
              </w:rPr>
              <w:t>175</w:t>
            </w:r>
            <w:r>
              <w:rPr>
                <w:rFonts w:hint="eastAsia" w:ascii="仿宋_GB2312" w:hAnsi="仿宋_GB2312" w:eastAsia="仿宋_GB2312" w:cs="仿宋_GB2312"/>
                <w:sz w:val="24"/>
              </w:rPr>
              <w:t>万元，占总投资的</w:t>
            </w:r>
            <w:r>
              <w:rPr>
                <w:rFonts w:hint="eastAsia" w:ascii="仿宋_GB2312" w:hAnsi="仿宋_GB2312" w:eastAsia="仿宋_GB2312" w:cs="仿宋_GB2312"/>
                <w:sz w:val="24"/>
                <w:lang w:val="en-US" w:eastAsia="zh-CN"/>
              </w:rPr>
              <w:t>8.75</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1" w:hRule="atLeast"/>
        </w:trPr>
        <w:tc>
          <w:tcPr>
            <w:tcW w:w="1899" w:type="dxa"/>
            <w:vAlign w:val="center"/>
          </w:tcPr>
          <w:p>
            <w:pPr>
              <w:spacing w:line="440" w:lineRule="atLeast"/>
              <w:jc w:val="left"/>
              <w:rPr>
                <w:rFonts w:ascii="仿宋_GB2312" w:hAnsi="仿宋_GB2312" w:eastAsia="仿宋_GB2312" w:cs="仿宋_GB2312"/>
                <w:sz w:val="24"/>
              </w:rPr>
            </w:pPr>
            <w:r>
              <w:rPr>
                <w:rFonts w:hint="eastAsia" w:ascii="仿宋_GB2312" w:hAnsi="仿宋_GB2312" w:eastAsia="仿宋_GB2312" w:cs="仿宋_GB2312"/>
                <w:sz w:val="24"/>
              </w:rPr>
              <w:t>主要环境影响及预防或者减轻不良环境影响的对策和措施</w:t>
            </w:r>
          </w:p>
        </w:tc>
        <w:tc>
          <w:tcPr>
            <w:tcW w:w="6623" w:type="dxa"/>
            <w:vAlign w:val="center"/>
          </w:tcPr>
          <w:p>
            <w:pPr>
              <w:spacing w:line="440" w:lineRule="atLeas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废气：本项目废气</w:t>
            </w:r>
            <w:r>
              <w:rPr>
                <w:rFonts w:hint="eastAsia" w:ascii="仿宋_GB2312" w:hAnsi="仿宋_GB2312" w:eastAsia="仿宋_GB2312" w:cs="仿宋_GB2312"/>
                <w:sz w:val="24"/>
                <w:lang w:eastAsia="zh-CN"/>
              </w:rPr>
              <w:t>有下料粉尘和回转窑烧结废气。①</w:t>
            </w:r>
            <w:r>
              <w:rPr>
                <w:rFonts w:hint="default" w:ascii="仿宋_GB2312" w:hAnsi="仿宋_GB2312" w:eastAsia="仿宋_GB2312" w:cs="仿宋_GB2312"/>
                <w:sz w:val="24"/>
                <w:lang w:val="en-US" w:eastAsia="zh-CN"/>
              </w:rPr>
              <w:t>下料粉尘</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项目球磨、磨削工序均</w:t>
            </w:r>
            <w:r>
              <w:rPr>
                <w:rFonts w:hint="default" w:ascii="仿宋_GB2312" w:hAnsi="仿宋_GB2312" w:eastAsia="仿宋_GB2312" w:cs="仿宋_GB2312"/>
                <w:sz w:val="24"/>
                <w:lang w:val="zh-CN" w:eastAsia="zh-CN"/>
              </w:rPr>
              <w:t>湿法生产，</w:t>
            </w:r>
            <w:r>
              <w:rPr>
                <w:rFonts w:hint="default" w:ascii="仿宋_GB2312" w:hAnsi="仿宋_GB2312" w:eastAsia="仿宋_GB2312" w:cs="仿宋_GB2312"/>
                <w:sz w:val="24"/>
                <w:lang w:val="en-US" w:eastAsia="zh-CN"/>
              </w:rPr>
              <w:t>运营生产过程中无粉尘产生，项目粉尘主要为原料下料时产生的粉尘</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料仓上方设置通风口，本项目在通风口处设有一组袋式除尘器收尘，因此项目收集效率为100%，该部分物料收集后作为原料重新用于生产。该部分废气呈无组织排放</w:t>
            </w:r>
            <w:r>
              <w:rPr>
                <w:rFonts w:hint="eastAsia" w:ascii="仿宋_GB2312" w:hAnsi="仿宋_GB2312" w:eastAsia="仿宋_GB2312" w:cs="仿宋_GB2312"/>
                <w:sz w:val="24"/>
                <w:lang w:val="en-US" w:eastAsia="zh-CN"/>
              </w:rPr>
              <w:t>；②</w:t>
            </w:r>
            <w:r>
              <w:rPr>
                <w:rFonts w:hint="default" w:ascii="仿宋_GB2312" w:hAnsi="仿宋_GB2312" w:eastAsia="仿宋_GB2312" w:cs="仿宋_GB2312"/>
                <w:sz w:val="24"/>
                <w:lang w:val="en-US" w:eastAsia="zh-CN"/>
              </w:rPr>
              <w:t>回转窑烧结废气</w:t>
            </w:r>
            <w:r>
              <w:rPr>
                <w:rFonts w:hint="eastAsia" w:ascii="仿宋_GB2312" w:hAnsi="仿宋_GB2312" w:eastAsia="仿宋_GB2312" w:cs="仿宋_GB2312"/>
                <w:sz w:val="24"/>
                <w:lang w:val="en-US" w:eastAsia="zh-CN"/>
              </w:rPr>
              <w:t>：A.</w:t>
            </w:r>
            <w:r>
              <w:rPr>
                <w:rFonts w:hint="default" w:ascii="仿宋_GB2312" w:hAnsi="仿宋_GB2312" w:eastAsia="仿宋_GB2312" w:cs="仿宋_GB2312"/>
                <w:sz w:val="24"/>
                <w:lang w:val="en-US" w:eastAsia="zh-CN"/>
              </w:rPr>
              <w:t>回转窑废气</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项目回转窑天然气使用量为1125000m3/a，根据建设单位提供的资料，炉窑废气通过陶瓷除尘系统处理后，通过一根16m高（内径0.2m</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排气筒排放</w:t>
            </w:r>
            <w:r>
              <w:rPr>
                <w:rFonts w:hint="eastAsia" w:ascii="仿宋_GB2312" w:hAnsi="仿宋_GB2312" w:eastAsia="仿宋_GB2312" w:cs="仿宋_GB2312"/>
                <w:sz w:val="24"/>
                <w:lang w:val="en-US" w:eastAsia="zh-CN"/>
              </w:rPr>
              <w:t>;B.</w:t>
            </w:r>
            <w:r>
              <w:rPr>
                <w:rFonts w:hint="default" w:ascii="仿宋_GB2312" w:hAnsi="仿宋_GB2312" w:eastAsia="仿宋_GB2312" w:cs="仿宋_GB2312"/>
                <w:sz w:val="24"/>
                <w:lang w:val="en-US" w:eastAsia="zh-CN"/>
              </w:rPr>
              <w:t>烧结粉尘</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本项目压制成型后的生坯料进入回转窑，利用天然气加热至1200℃高温下烧结30分钟，烧结过程中会产生烟尘，烧结废气由炉窑上方抽尘管道收集后，经1套陶瓷除尘系统处理，尾气经1根16m高排气筒（DA001）排放</w:t>
            </w:r>
            <w:r>
              <w:rPr>
                <w:rFonts w:hint="eastAsia" w:ascii="仿宋_GB2312" w:hAnsi="仿宋_GB2312" w:eastAsia="仿宋_GB2312" w:cs="仿宋_GB2312"/>
                <w:sz w:val="24"/>
                <w:lang w:val="en-US" w:eastAsia="zh-CN"/>
              </w:rPr>
              <w:t>。</w:t>
            </w:r>
          </w:p>
          <w:p>
            <w:pPr>
              <w:spacing w:line="440" w:lineRule="atLeas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（2）废水：本项目废水</w:t>
            </w:r>
            <w:r>
              <w:rPr>
                <w:rFonts w:hint="eastAsia" w:ascii="仿宋_GB2312" w:hAnsi="仿宋_GB2312" w:eastAsia="仿宋_GB2312" w:cs="仿宋_GB2312"/>
                <w:sz w:val="24"/>
                <w:lang w:eastAsia="zh-CN"/>
              </w:rPr>
              <w:t>有生活污水、球磨机冷却水、料浆脱水。</w:t>
            </w:r>
            <w:r>
              <w:rPr>
                <w:rFonts w:hint="eastAsia" w:ascii="仿宋_GB2312" w:hAnsi="仿宋_GB2312" w:eastAsia="仿宋_GB2312" w:cs="仿宋_GB2312"/>
                <w:sz w:val="24"/>
                <w:lang w:val="en-US" w:eastAsia="zh-CN"/>
              </w:rPr>
              <w:t>①</w:t>
            </w:r>
            <w:r>
              <w:rPr>
                <w:rFonts w:hint="default" w:ascii="仿宋_GB2312" w:hAnsi="仿宋_GB2312" w:eastAsia="仿宋_GB2312" w:cs="仿宋_GB2312"/>
                <w:sz w:val="24"/>
                <w:lang w:val="en-US" w:eastAsia="zh-CN"/>
              </w:rPr>
              <w:t>生活污水</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项目废水经化粪池处理后，排入赣州市水西污水处理厂一厂</w:t>
            </w:r>
            <w:r>
              <w:rPr>
                <w:rFonts w:hint="eastAsia" w:ascii="仿宋_GB2312" w:hAnsi="仿宋_GB2312" w:eastAsia="仿宋_GB2312" w:cs="仿宋_GB2312"/>
                <w:sz w:val="24"/>
                <w:lang w:val="en-US" w:eastAsia="zh-CN"/>
              </w:rPr>
              <w:t>；②</w:t>
            </w:r>
            <w:r>
              <w:rPr>
                <w:rFonts w:hint="default" w:ascii="仿宋_GB2312" w:hAnsi="仿宋_GB2312" w:eastAsia="仿宋_GB2312" w:cs="仿宋_GB2312"/>
                <w:sz w:val="24"/>
                <w:lang w:val="en-US" w:eastAsia="zh-CN"/>
              </w:rPr>
              <w:t>球磨机冷却水</w:t>
            </w:r>
            <w:r>
              <w:rPr>
                <w:rFonts w:hint="eastAsia" w:ascii="仿宋_GB2312" w:hAnsi="仿宋_GB2312" w:eastAsia="仿宋_GB2312" w:cs="仿宋_GB2312"/>
                <w:sz w:val="24"/>
                <w:lang w:val="en-US" w:eastAsia="zh-CN"/>
              </w:rPr>
              <w:t>：项目</w:t>
            </w:r>
            <w:r>
              <w:rPr>
                <w:rFonts w:hint="default" w:ascii="仿宋_GB2312" w:hAnsi="仿宋_GB2312" w:eastAsia="仿宋_GB2312" w:cs="仿宋_GB2312"/>
                <w:sz w:val="24"/>
                <w:lang w:val="en-US" w:eastAsia="zh-CN"/>
              </w:rPr>
              <w:t>球磨机冷却水</w:t>
            </w:r>
            <w:r>
              <w:rPr>
                <w:rFonts w:hint="eastAsia" w:ascii="仿宋_GB2312" w:hAnsi="仿宋_GB2312" w:eastAsia="仿宋_GB2312" w:cs="仿宋_GB2312"/>
                <w:sz w:val="24"/>
                <w:lang w:val="en-US" w:eastAsia="zh-CN"/>
              </w:rPr>
              <w:t>用于回转窑降温</w:t>
            </w:r>
            <w:r>
              <w:rPr>
                <w:rFonts w:hint="default" w:ascii="仿宋_GB2312" w:hAnsi="仿宋_GB2312" w:eastAsia="仿宋_GB2312" w:cs="仿宋_GB2312"/>
                <w:sz w:val="24"/>
                <w:lang w:val="en-US" w:eastAsia="zh-CN"/>
              </w:rPr>
              <w:t>冷却</w:t>
            </w:r>
            <w:r>
              <w:rPr>
                <w:rFonts w:hint="eastAsia" w:ascii="仿宋_GB2312" w:hAnsi="仿宋_GB2312" w:eastAsia="仿宋_GB2312" w:cs="仿宋_GB2312"/>
                <w:sz w:val="24"/>
                <w:lang w:val="en-US" w:eastAsia="zh-CN"/>
              </w:rPr>
              <w:t>，不外排；③</w:t>
            </w:r>
            <w:r>
              <w:rPr>
                <w:rFonts w:hint="default" w:ascii="仿宋_GB2312" w:hAnsi="仿宋_GB2312" w:eastAsia="仿宋_GB2312" w:cs="仿宋_GB2312"/>
                <w:sz w:val="24"/>
                <w:lang w:val="en-US" w:eastAsia="zh-CN"/>
              </w:rPr>
              <w:t>料浆脱水</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该部分不外排。</w:t>
            </w:r>
          </w:p>
          <w:p>
            <w:pPr>
              <w:spacing w:line="440" w:lineRule="atLeast"/>
              <w:jc w:val="left"/>
              <w:rPr>
                <w:rFonts w:hint="default" w:ascii="仿宋_GB2312" w:hAnsi="仿宋_GB2312" w:eastAsia="仿宋_GB2312" w:cs="仿宋_GB2312"/>
                <w:sz w:val="24"/>
                <w:lang w:val="zh-CN" w:eastAsia="zh-CN"/>
              </w:rPr>
            </w:pPr>
            <w:r>
              <w:rPr>
                <w:rFonts w:hint="eastAsia" w:ascii="仿宋_GB2312" w:hAnsi="仿宋_GB2312" w:eastAsia="仿宋_GB2312" w:cs="仿宋_GB2312"/>
                <w:sz w:val="24"/>
              </w:rPr>
              <w:t>（3）噪声：本项目</w:t>
            </w:r>
            <w:r>
              <w:rPr>
                <w:rFonts w:hint="eastAsia" w:ascii="仿宋_GB2312" w:hAnsi="仿宋_GB2312" w:eastAsia="仿宋_GB2312" w:cs="仿宋_GB2312"/>
                <w:sz w:val="24"/>
                <w:lang w:eastAsia="zh-CN"/>
              </w:rPr>
              <w:t>主要噪声源预测源强有循环式搅拌球磨机、卧式砂磨机、离心脱水机、风机、水泵回转窑。</w:t>
            </w:r>
            <w:r>
              <w:rPr>
                <w:rFonts w:hint="default" w:ascii="仿宋_GB2312" w:hAnsi="仿宋_GB2312" w:eastAsia="仿宋_GB2312" w:cs="仿宋_GB2312"/>
                <w:sz w:val="24"/>
                <w:lang w:val="zh-CN" w:eastAsia="zh-CN"/>
              </w:rPr>
              <w:t>选用环保低噪型设备，车间内各设备合理的布置，且设备作基础减震等防治措施</w:t>
            </w:r>
            <w:r>
              <w:rPr>
                <w:rFonts w:hint="eastAsia" w:ascii="仿宋_GB2312" w:hAnsi="仿宋_GB2312" w:eastAsia="仿宋_GB2312" w:cs="仿宋_GB2312"/>
                <w:sz w:val="24"/>
                <w:lang w:val="zh-CN" w:eastAsia="zh-CN"/>
              </w:rPr>
              <w:t>；</w:t>
            </w:r>
            <w:r>
              <w:rPr>
                <w:rFonts w:hint="default" w:ascii="仿宋_GB2312" w:hAnsi="仿宋_GB2312" w:eastAsia="仿宋_GB2312" w:cs="仿宋_GB2312"/>
                <w:sz w:val="24"/>
                <w:lang w:val="zh-CN" w:eastAsia="zh-CN"/>
              </w:rPr>
              <w:t>厂房设计安装隔声门窗；运营期窗口紧闭，实现密封作业，从而增加墙体的隔声效果；厂房内设备噪声经墙体进行隔声处理。处于高噪声设备工作区域的员工佩戴耳塞</w:t>
            </w:r>
            <w:r>
              <w:rPr>
                <w:rFonts w:hint="eastAsia" w:ascii="仿宋_GB2312" w:hAnsi="仿宋_GB2312" w:eastAsia="仿宋_GB2312" w:cs="仿宋_GB2312"/>
                <w:sz w:val="24"/>
                <w:lang w:val="zh-CN" w:eastAsia="zh-CN"/>
              </w:rPr>
              <w:t>；</w:t>
            </w:r>
            <w:r>
              <w:rPr>
                <w:rFonts w:hint="default" w:ascii="仿宋_GB2312" w:hAnsi="仿宋_GB2312" w:eastAsia="仿宋_GB2312" w:cs="仿宋_GB2312"/>
                <w:sz w:val="24"/>
                <w:lang w:val="zh-CN" w:eastAsia="zh-CN"/>
              </w:rPr>
              <w:t>加强设备运行管理，对各机械设备定期检查，维修，使各机械设备保持良好的工作状态。</w:t>
            </w:r>
          </w:p>
          <w:p>
            <w:pPr>
              <w:spacing w:line="440" w:lineRule="atLeast"/>
              <w:jc w:val="left"/>
              <w:rPr>
                <w:rFonts w:hint="default" w:ascii="仿宋_GB2312" w:hAnsi="仿宋_GB2312" w:eastAsia="仿宋_GB2312" w:cs="仿宋_GB2312"/>
                <w:sz w:val="24"/>
                <w:lang w:val="zh-CN" w:eastAsia="zh-CN"/>
              </w:rPr>
            </w:pPr>
            <w:r>
              <w:rPr>
                <w:rFonts w:hint="eastAsia" w:ascii="仿宋_GB2312" w:hAnsi="仿宋_GB2312" w:eastAsia="仿宋_GB2312" w:cs="仿宋_GB2312"/>
                <w:sz w:val="24"/>
                <w:lang w:val="en-US" w:eastAsia="zh-CN"/>
              </w:rPr>
              <w:t>（4）固废:</w:t>
            </w:r>
            <w:r>
              <w:rPr>
                <w:rFonts w:hint="default" w:ascii="仿宋_GB2312" w:hAnsi="仿宋_GB2312" w:eastAsia="仿宋_GB2312" w:cs="仿宋_GB2312"/>
                <w:sz w:val="24"/>
                <w:lang w:val="en-US" w:eastAsia="zh-CN"/>
              </w:rPr>
              <w:t>项目生产过程中主要固体废物有一般工业固废、危险废物和生活垃圾。</w:t>
            </w:r>
            <w:r>
              <w:rPr>
                <w:rFonts w:hint="eastAsia" w:ascii="仿宋_GB2312" w:hAnsi="仿宋_GB2312" w:eastAsia="仿宋_GB2312" w:cs="仿宋_GB2312"/>
                <w:sz w:val="24"/>
                <w:lang w:val="en-US" w:eastAsia="zh-CN"/>
              </w:rPr>
              <w:t>①</w:t>
            </w:r>
            <w:r>
              <w:rPr>
                <w:rFonts w:hint="default" w:ascii="仿宋_GB2312" w:hAnsi="仿宋_GB2312" w:eastAsia="仿宋_GB2312" w:cs="仿宋_GB2312"/>
                <w:sz w:val="24"/>
                <w:lang w:val="en-US" w:eastAsia="zh-CN"/>
              </w:rPr>
              <w:t>一般工业固废</w:t>
            </w:r>
            <w:r>
              <w:rPr>
                <w:rFonts w:hint="eastAsia" w:ascii="仿宋_GB2312" w:hAnsi="仿宋_GB2312" w:eastAsia="仿宋_GB2312" w:cs="仿宋_GB2312"/>
                <w:sz w:val="24"/>
                <w:lang w:val="en-US" w:eastAsia="zh-CN"/>
              </w:rPr>
              <w:t>:A.</w:t>
            </w:r>
            <w:r>
              <w:rPr>
                <w:rFonts w:hint="default" w:ascii="仿宋_GB2312" w:hAnsi="仿宋_GB2312" w:eastAsia="仿宋_GB2312" w:cs="仿宋_GB2312"/>
                <w:sz w:val="24"/>
                <w:lang w:val="zh-CN" w:eastAsia="zh-CN"/>
              </w:rPr>
              <w:t>残次品</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在进行产品检验时，会有不合格产品产生，</w:t>
            </w:r>
            <w:r>
              <w:rPr>
                <w:rFonts w:hint="default" w:ascii="仿宋_GB2312" w:hAnsi="仿宋_GB2312" w:eastAsia="仿宋_GB2312" w:cs="仿宋_GB2312"/>
                <w:sz w:val="24"/>
                <w:lang w:val="zh-CN" w:eastAsia="zh-CN"/>
              </w:rPr>
              <w:t>集中收集后，</w:t>
            </w:r>
            <w:r>
              <w:rPr>
                <w:rFonts w:hint="default" w:ascii="仿宋_GB2312" w:hAnsi="仿宋_GB2312" w:eastAsia="仿宋_GB2312" w:cs="仿宋_GB2312"/>
                <w:sz w:val="24"/>
                <w:lang w:val="en-US" w:eastAsia="zh-CN"/>
              </w:rPr>
              <w:t>根据</w:t>
            </w:r>
            <w:r>
              <w:rPr>
                <w:rFonts w:hint="default" w:ascii="仿宋_GB2312" w:hAnsi="仿宋_GB2312" w:eastAsia="仿宋_GB2312" w:cs="仿宋_GB2312"/>
                <w:sz w:val="24"/>
                <w:lang w:val="zh-CN" w:eastAsia="zh-CN"/>
              </w:rPr>
              <w:t>残次品</w:t>
            </w:r>
            <w:r>
              <w:rPr>
                <w:rFonts w:hint="default" w:ascii="仿宋_GB2312" w:hAnsi="仿宋_GB2312" w:eastAsia="仿宋_GB2312" w:cs="仿宋_GB2312"/>
                <w:sz w:val="24"/>
                <w:lang w:val="en-US" w:eastAsia="zh-CN"/>
              </w:rPr>
              <w:t>的性能，可作为中低端产品出售</w:t>
            </w:r>
            <w:r>
              <w:rPr>
                <w:rFonts w:hint="default" w:ascii="仿宋_GB2312" w:hAnsi="仿宋_GB2312" w:eastAsia="仿宋_GB2312" w:cs="仿宋_GB2312"/>
                <w:sz w:val="24"/>
                <w:lang w:val="zh-CN" w:eastAsia="zh-CN"/>
              </w:rPr>
              <w:t>。</w:t>
            </w:r>
            <w:r>
              <w:rPr>
                <w:rFonts w:hint="eastAsia" w:ascii="仿宋_GB2312" w:hAnsi="仿宋_GB2312" w:eastAsia="仿宋_GB2312" w:cs="仿宋_GB2312"/>
                <w:sz w:val="24"/>
                <w:lang w:val="en-US" w:eastAsia="zh-CN"/>
              </w:rPr>
              <w:t>B.</w:t>
            </w:r>
            <w:r>
              <w:rPr>
                <w:rFonts w:hint="default" w:ascii="仿宋_GB2312" w:hAnsi="仿宋_GB2312" w:eastAsia="仿宋_GB2312" w:cs="仿宋_GB2312"/>
                <w:sz w:val="24"/>
                <w:lang w:val="en-US" w:eastAsia="zh-CN"/>
              </w:rPr>
              <w:t>废包装</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项目原材料在使用过程和产品包装过程中会产生一定量的废包装，</w:t>
            </w:r>
            <w:r>
              <w:rPr>
                <w:rFonts w:hint="default" w:ascii="仿宋_GB2312" w:hAnsi="仿宋_GB2312" w:eastAsia="仿宋_GB2312" w:cs="仿宋_GB2312"/>
                <w:sz w:val="24"/>
                <w:lang w:val="zh-CN" w:eastAsia="zh-CN"/>
              </w:rPr>
              <w:t>如塑料袋、纸皮等，</w:t>
            </w:r>
            <w:r>
              <w:rPr>
                <w:rFonts w:hint="default" w:ascii="仿宋_GB2312" w:hAnsi="仿宋_GB2312" w:eastAsia="仿宋_GB2312" w:cs="仿宋_GB2312"/>
                <w:sz w:val="24"/>
                <w:lang w:val="en-US" w:eastAsia="zh-CN"/>
              </w:rPr>
              <w:t>废包装经收集后由废品回收商回收处理</w:t>
            </w:r>
            <w:r>
              <w:rPr>
                <w:rFonts w:hint="eastAsia" w:ascii="仿宋_GB2312" w:hAnsi="仿宋_GB2312" w:eastAsia="仿宋_GB2312" w:cs="仿宋_GB2312"/>
                <w:sz w:val="24"/>
                <w:lang w:val="en-US" w:eastAsia="zh-CN"/>
              </w:rPr>
              <w:t>。C.</w:t>
            </w:r>
            <w:r>
              <w:rPr>
                <w:rFonts w:hint="default" w:ascii="仿宋_GB2312" w:hAnsi="仿宋_GB2312" w:eastAsia="仿宋_GB2312" w:cs="仿宋_GB2312"/>
                <w:sz w:val="24"/>
                <w:lang w:val="en-US" w:eastAsia="zh-CN"/>
              </w:rPr>
              <w:t>粉尘</w:t>
            </w:r>
            <w:r>
              <w:rPr>
                <w:rFonts w:hint="eastAsia" w:ascii="仿宋_GB2312" w:hAnsi="仿宋_GB2312" w:eastAsia="仿宋_GB2312" w:cs="仿宋_GB2312"/>
                <w:sz w:val="24"/>
                <w:lang w:val="en-US" w:eastAsia="zh-CN"/>
              </w:rPr>
              <w:t>:a.</w:t>
            </w:r>
            <w:r>
              <w:rPr>
                <w:rFonts w:hint="default" w:ascii="仿宋_GB2312" w:hAnsi="仿宋_GB2312" w:eastAsia="仿宋_GB2312" w:cs="仿宋_GB2312"/>
                <w:sz w:val="24"/>
                <w:lang w:val="en-US" w:eastAsia="zh-CN"/>
              </w:rPr>
              <w:t>袋式除尘器粉尘</w:t>
            </w:r>
            <w:r>
              <w:rPr>
                <w:rFonts w:hint="eastAsia" w:ascii="仿宋_GB2312" w:hAnsi="仿宋_GB2312" w:eastAsia="仿宋_GB2312" w:cs="仿宋_GB2312"/>
                <w:sz w:val="24"/>
                <w:lang w:val="en-US" w:eastAsia="zh-CN"/>
              </w:rPr>
              <w:t>b.</w:t>
            </w:r>
            <w:r>
              <w:rPr>
                <w:rFonts w:hint="default" w:ascii="仿宋_GB2312" w:hAnsi="仿宋_GB2312" w:eastAsia="仿宋_GB2312" w:cs="仿宋_GB2312"/>
                <w:sz w:val="24"/>
                <w:lang w:val="en-US" w:eastAsia="zh-CN"/>
              </w:rPr>
              <w:t>回转窑烟尘</w:t>
            </w:r>
            <w:r>
              <w:rPr>
                <w:rFonts w:hint="eastAsia" w:ascii="仿宋_GB2312" w:hAnsi="仿宋_GB2312" w:eastAsia="仿宋_GB2312" w:cs="仿宋_GB2312"/>
                <w:sz w:val="24"/>
                <w:lang w:val="en-US" w:eastAsia="zh-CN"/>
              </w:rPr>
              <w:t>c.</w:t>
            </w:r>
            <w:r>
              <w:rPr>
                <w:rFonts w:hint="default" w:ascii="仿宋_GB2312" w:hAnsi="仿宋_GB2312" w:eastAsia="仿宋_GB2312" w:cs="仿宋_GB2312"/>
                <w:sz w:val="24"/>
                <w:lang w:val="en-US" w:eastAsia="zh-CN"/>
              </w:rPr>
              <w:t>收集的物料</w:t>
            </w:r>
            <w:r>
              <w:rPr>
                <w:rFonts w:hint="eastAsia" w:ascii="仿宋_GB2312" w:hAnsi="仿宋_GB2312" w:eastAsia="仿宋_GB2312" w:cs="仿宋_GB2312"/>
                <w:sz w:val="24"/>
                <w:lang w:val="en-US" w:eastAsia="zh-CN"/>
              </w:rPr>
              <w:t>D.</w:t>
            </w:r>
            <w:r>
              <w:rPr>
                <w:rFonts w:hint="default" w:ascii="仿宋_GB2312" w:hAnsi="仿宋_GB2312" w:eastAsia="仿宋_GB2312" w:cs="仿宋_GB2312"/>
                <w:sz w:val="24"/>
                <w:lang w:val="en-US" w:eastAsia="zh-CN"/>
              </w:rPr>
              <w:t>沉淀渣</w:t>
            </w:r>
            <w:r>
              <w:rPr>
                <w:rFonts w:hint="eastAsia" w:ascii="仿宋_GB2312" w:hAnsi="仿宋_GB2312" w:eastAsia="仿宋_GB2312" w:cs="仿宋_GB2312"/>
                <w:sz w:val="24"/>
                <w:lang w:val="en-US" w:eastAsia="zh-CN"/>
              </w:rPr>
              <w:t>②</w:t>
            </w:r>
            <w:r>
              <w:rPr>
                <w:rFonts w:hint="default" w:ascii="仿宋_GB2312" w:hAnsi="仿宋_GB2312" w:eastAsia="仿宋_GB2312" w:cs="仿宋_GB2312"/>
                <w:sz w:val="24"/>
                <w:lang w:val="en-US" w:eastAsia="zh-CN"/>
              </w:rPr>
              <w:t>危险废物</w:t>
            </w:r>
            <w:r>
              <w:rPr>
                <w:rFonts w:hint="eastAsia" w:ascii="仿宋_GB2312" w:hAnsi="仿宋_GB2312" w:eastAsia="仿宋_GB2312" w:cs="仿宋_GB2312"/>
                <w:sz w:val="24"/>
                <w:lang w:val="en-US" w:eastAsia="zh-CN"/>
              </w:rPr>
              <w:t>：A.</w:t>
            </w:r>
            <w:r>
              <w:rPr>
                <w:rFonts w:hint="default" w:ascii="仿宋_GB2312" w:hAnsi="仿宋_GB2312" w:eastAsia="仿宋_GB2312" w:cs="仿宋_GB2312"/>
                <w:sz w:val="24"/>
                <w:lang w:val="en-US" w:eastAsia="zh-CN"/>
              </w:rPr>
              <w:t>废机油</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en-US" w:eastAsia="zh-CN"/>
              </w:rPr>
              <w:t>设备检修过程中会产生少部分的废机油</w:t>
            </w:r>
            <w:r>
              <w:rPr>
                <w:rFonts w:hint="eastAsia" w:ascii="仿宋_GB2312" w:hAnsi="仿宋_GB2312" w:eastAsia="仿宋_GB2312" w:cs="仿宋_GB2312"/>
                <w:sz w:val="24"/>
                <w:lang w:val="en-US" w:eastAsia="zh-CN"/>
              </w:rPr>
              <w:t>，</w:t>
            </w:r>
            <w:r>
              <w:rPr>
                <w:rFonts w:hint="default" w:ascii="仿宋_GB2312" w:hAnsi="仿宋_GB2312" w:eastAsia="仿宋_GB2312" w:cs="仿宋_GB2312"/>
                <w:sz w:val="24"/>
                <w:lang w:val="zh-CN" w:eastAsia="zh-CN"/>
              </w:rPr>
              <w:t>定期交由具有相应危险废物处理资质的单位进行处置</w:t>
            </w:r>
            <w:r>
              <w:rPr>
                <w:rFonts w:hint="eastAsia" w:ascii="仿宋_GB2312" w:hAnsi="仿宋_GB2312" w:eastAsia="仿宋_GB2312" w:cs="仿宋_GB2312"/>
                <w:sz w:val="24"/>
                <w:lang w:val="en-US" w:eastAsia="zh-CN"/>
              </w:rPr>
              <w:t>;B.</w:t>
            </w:r>
            <w:r>
              <w:rPr>
                <w:rFonts w:hint="default" w:ascii="仿宋_GB2312" w:hAnsi="仿宋_GB2312" w:eastAsia="仿宋_GB2312" w:cs="仿宋_GB2312"/>
                <w:sz w:val="24"/>
                <w:lang w:val="en-US" w:eastAsia="zh-CN"/>
              </w:rPr>
              <w:t>废含油抹布分类</w:t>
            </w:r>
            <w:r>
              <w:rPr>
                <w:rFonts w:hint="default" w:ascii="仿宋_GB2312" w:hAnsi="仿宋_GB2312" w:eastAsia="仿宋_GB2312" w:cs="仿宋_GB2312"/>
                <w:sz w:val="24"/>
                <w:lang w:val="zh-CN" w:eastAsia="zh-CN"/>
              </w:rPr>
              <w:t>收集，暂存于固定的危废暂存场所，定期交由具有相应危险废物处理资质的单位进行处置</w:t>
            </w:r>
            <w:r>
              <w:rPr>
                <w:rFonts w:hint="eastAsia" w:ascii="仿宋_GB2312" w:hAnsi="仿宋_GB2312" w:eastAsia="仿宋_GB2312" w:cs="仿宋_GB2312"/>
                <w:sz w:val="24"/>
                <w:lang w:val="en-US" w:eastAsia="zh-CN"/>
              </w:rPr>
              <w:t>;③</w:t>
            </w:r>
            <w:r>
              <w:rPr>
                <w:rFonts w:hint="default" w:ascii="仿宋_GB2312" w:hAnsi="仿宋_GB2312" w:eastAsia="仿宋_GB2312" w:cs="仿宋_GB2312"/>
                <w:sz w:val="24"/>
                <w:lang w:val="zh-CN" w:eastAsia="zh-CN"/>
              </w:rPr>
              <w:t>生活垃圾在厂区统一收集，由垃圾桶暂存，</w:t>
            </w:r>
            <w:r>
              <w:rPr>
                <w:rFonts w:hint="default" w:ascii="仿宋_GB2312" w:hAnsi="仿宋_GB2312" w:eastAsia="仿宋_GB2312" w:cs="仿宋_GB2312"/>
                <w:sz w:val="24"/>
                <w:lang w:val="en-US" w:eastAsia="zh-CN"/>
              </w:rPr>
              <w:t>当地</w:t>
            </w:r>
            <w:r>
              <w:rPr>
                <w:rFonts w:hint="default" w:ascii="仿宋_GB2312" w:hAnsi="仿宋_GB2312" w:eastAsia="仿宋_GB2312" w:cs="仿宋_GB2312"/>
                <w:sz w:val="24"/>
                <w:lang w:val="zh-CN" w:eastAsia="zh-CN"/>
              </w:rPr>
              <w:t>环卫部门清运。</w:t>
            </w:r>
          </w:p>
          <w:p>
            <w:pPr>
              <w:spacing w:line="440" w:lineRule="atLeast"/>
              <w:jc w:val="left"/>
              <w:rPr>
                <w:rFonts w:hint="default" w:ascii="仿宋_GB2312" w:hAnsi="仿宋_GB2312" w:eastAsia="仿宋_GB2312" w:cs="仿宋_GB2312"/>
                <w:sz w:val="24"/>
                <w:lang w:val="en-US" w:eastAsia="zh-CN"/>
              </w:rPr>
            </w:pPr>
          </w:p>
          <w:p>
            <w:pPr>
              <w:spacing w:line="440" w:lineRule="atLeast"/>
              <w:jc w:val="left"/>
              <w:rPr>
                <w:rFonts w:hint="eastAsia" w:ascii="仿宋_GB2312" w:hAnsi="仿宋_GB2312" w:eastAsia="仿宋_GB2312" w:cs="仿宋_GB2312"/>
                <w:sz w:val="24"/>
                <w:lang w:val="zh-CN" w:eastAsia="zh-CN"/>
              </w:rPr>
            </w:pPr>
          </w:p>
          <w:p>
            <w:pPr>
              <w:spacing w:line="440" w:lineRule="atLeast"/>
              <w:jc w:val="left"/>
              <w:rPr>
                <w:rFonts w:hint="eastAsia" w:ascii="仿宋_GB2312" w:hAnsi="仿宋_GB2312" w:eastAsia="仿宋_GB2312" w:cs="仿宋_GB2312"/>
                <w:sz w:val="24"/>
                <w:lang w:val="zh-CN" w:eastAsia="zh-CN"/>
              </w:rPr>
            </w:pPr>
          </w:p>
          <w:p>
            <w:pPr>
              <w:spacing w:line="440" w:lineRule="atLeast"/>
              <w:jc w:val="left"/>
              <w:rPr>
                <w:rFonts w:hint="eastAsia" w:ascii="仿宋_GB2312" w:hAnsi="仿宋_GB2312" w:eastAsia="仿宋_GB2312" w:cs="仿宋_GB2312"/>
                <w:sz w:val="24"/>
              </w:rPr>
            </w:pPr>
          </w:p>
          <w:p>
            <w:pPr>
              <w:spacing w:line="440" w:lineRule="atLeast"/>
              <w:jc w:val="left"/>
              <w:rPr>
                <w:rFonts w:hint="eastAsia" w:ascii="仿宋_GB2312" w:hAnsi="仿宋_GB2312" w:eastAsia="仿宋_GB2312" w:cs="仿宋_GB2312"/>
                <w:sz w:val="24"/>
              </w:rPr>
            </w:pPr>
          </w:p>
          <w:p>
            <w:pPr>
              <w:spacing w:line="440" w:lineRule="atLeast"/>
              <w:jc w:val="left"/>
              <w:rPr>
                <w:rFonts w:hint="eastAsia" w:ascii="仿宋_GB2312" w:hAnsi="仿宋_GB2312" w:eastAsia="仿宋_GB2312" w:cs="仿宋_GB2312"/>
                <w:sz w:val="24"/>
              </w:rPr>
            </w:pPr>
          </w:p>
        </w:tc>
      </w:tr>
    </w:tbl>
    <w:p>
      <w:pPr>
        <w:spacing w:line="440" w:lineRule="atLeast"/>
        <w:jc w:val="left"/>
        <w:rPr>
          <w:rFonts w:ascii="仿宋_GB2312" w:hAnsi="仿宋_GB2312" w:eastAsia="仿宋_GB2312" w:cs="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3216"/>
    <w:rsid w:val="005D4DA2"/>
    <w:rsid w:val="00B03536"/>
    <w:rsid w:val="00EC3216"/>
    <w:rsid w:val="021F76B8"/>
    <w:rsid w:val="0A3F5A54"/>
    <w:rsid w:val="15E04339"/>
    <w:rsid w:val="17367C2F"/>
    <w:rsid w:val="20E97F1E"/>
    <w:rsid w:val="258A26BA"/>
    <w:rsid w:val="26831721"/>
    <w:rsid w:val="26EB0B9A"/>
    <w:rsid w:val="27094EC1"/>
    <w:rsid w:val="2B070C43"/>
    <w:rsid w:val="2DFA4A9B"/>
    <w:rsid w:val="2FF54070"/>
    <w:rsid w:val="329F176D"/>
    <w:rsid w:val="37C4498C"/>
    <w:rsid w:val="3FF34060"/>
    <w:rsid w:val="40C80FD0"/>
    <w:rsid w:val="44C32AF3"/>
    <w:rsid w:val="48ED09D4"/>
    <w:rsid w:val="4F923472"/>
    <w:rsid w:val="596F131E"/>
    <w:rsid w:val="5CBB52AC"/>
    <w:rsid w:val="621B5461"/>
    <w:rsid w:val="6EF16292"/>
    <w:rsid w:val="7DCB56F9"/>
    <w:rsid w:val="7FEC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Body Text"/>
    <w:basedOn w:val="1"/>
    <w:next w:val="1"/>
    <w:qFormat/>
    <w:uiPriority w:val="0"/>
    <w:pPr>
      <w:widowControl/>
      <w:snapToGrid w:val="0"/>
      <w:spacing w:before="60" w:after="160" w:line="259" w:lineRule="auto"/>
      <w:ind w:right="113"/>
    </w:pPr>
    <w:rPr>
      <w:kern w:val="0"/>
      <w:sz w:val="18"/>
      <w:szCs w:val="20"/>
    </w:rPr>
  </w:style>
  <w:style w:type="paragraph" w:styleId="5">
    <w:name w:val="Body Text Indent"/>
    <w:basedOn w:val="1"/>
    <w:next w:val="6"/>
    <w:qFormat/>
    <w:uiPriority w:val="0"/>
    <w:pPr>
      <w:spacing w:after="120"/>
      <w:ind w:left="420" w:leftChars="200"/>
    </w:pPr>
    <w:rPr>
      <w:kern w:val="0"/>
      <w:sz w:val="24"/>
      <w:szCs w:val="20"/>
    </w:rPr>
  </w:style>
  <w:style w:type="paragraph" w:customStyle="1" w:styleId="6">
    <w:name w:val="样式 标题 1一级标题 + 段前: 0.5 行 段后: 0.5 行"/>
    <w:basedOn w:val="3"/>
    <w:qFormat/>
    <w:uiPriority w:val="0"/>
    <w:pPr>
      <w:spacing w:line="320" w:lineRule="exact"/>
      <w:outlineLvl w:val="9"/>
    </w:pPr>
    <w:rPr>
      <w:rFonts w:eastAsia="宋体"/>
      <w:spacing w:val="-6"/>
      <w:sz w:val="21"/>
      <w:szCs w:val="21"/>
    </w:rPr>
  </w:style>
  <w:style w:type="paragraph" w:styleId="7">
    <w:name w:val="Body Text Indent 2"/>
    <w:basedOn w:val="1"/>
    <w:qFormat/>
    <w:uiPriority w:val="0"/>
    <w:pPr>
      <w:spacing w:line="360" w:lineRule="exact"/>
      <w:ind w:firstLine="438" w:firstLineChars="200"/>
    </w:pPr>
    <w:rPr>
      <w:rFonts w:ascii="宋体" w:hAnsi="宋体"/>
      <w:bCs/>
      <w:color w:val="000000"/>
      <w:sz w:val="24"/>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4"/>
    <w:next w:val="1"/>
    <w:qFormat/>
    <w:uiPriority w:val="0"/>
    <w:pPr>
      <w:tabs>
        <w:tab w:val="left" w:pos="1260"/>
      </w:tabs>
      <w:spacing w:after="120" w:afterLines="0"/>
      <w:ind w:firstLine="420" w:firstLineChars="100"/>
      <w:jc w:val="both"/>
      <w:outlineLvl w:val="9"/>
    </w:pPr>
    <w:rPr>
      <w:rFonts w:ascii="Times New Roman" w:hAnsi="Times New Roman" w:eastAsia="宋体" w:cs="Times New Roman"/>
    </w:rPr>
  </w:style>
  <w:style w:type="paragraph" w:styleId="11">
    <w:name w:val="Body Text First Indent 2"/>
    <w:basedOn w:val="5"/>
    <w:next w:val="1"/>
    <w:qFormat/>
    <w:uiPriority w:val="0"/>
    <w:pPr>
      <w:ind w:firstLine="420"/>
    </w:pPr>
    <w:rPr>
      <w:rFonts w:ascii="仿宋_GB2312"/>
      <w:szCs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16">
    <w:name w:val="样式35"/>
    <w:basedOn w:val="1"/>
    <w:next w:val="1"/>
    <w:qFormat/>
    <w:uiPriority w:val="0"/>
    <w:pPr>
      <w:spacing w:line="312" w:lineRule="auto"/>
      <w:ind w:firstLine="567"/>
    </w:pPr>
    <w:rPr>
      <w:rFonts w:ascii="宋体"/>
      <w:sz w:val="28"/>
    </w:rPr>
  </w:style>
  <w:style w:type="paragraph" w:customStyle="1" w:styleId="17">
    <w:name w:val="00000000000000000000000"/>
    <w:basedOn w:val="1"/>
    <w:qFormat/>
    <w:uiPriority w:val="0"/>
    <w:pPr>
      <w:ind w:firstLine="480" w:firstLineChars="200"/>
    </w:pPr>
    <w:rPr>
      <w:snapToGrid w:val="0"/>
    </w:rPr>
  </w:style>
  <w:style w:type="character" w:customStyle="1" w:styleId="18">
    <w:name w:val="页眉 Char"/>
    <w:basedOn w:val="14"/>
    <w:link w:val="9"/>
    <w:qFormat/>
    <w:uiPriority w:val="0"/>
    <w:rPr>
      <w:kern w:val="2"/>
      <w:sz w:val="18"/>
      <w:szCs w:val="18"/>
    </w:rPr>
  </w:style>
  <w:style w:type="character" w:customStyle="1" w:styleId="19">
    <w:name w:val="页脚 Char"/>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218</Words>
  <Characters>1245</Characters>
  <Lines>10</Lines>
  <Paragraphs>2</Paragraphs>
  <TotalTime>0</TotalTime>
  <ScaleCrop>false</ScaleCrop>
  <LinksUpToDate>false</LinksUpToDate>
  <CharactersWithSpaces>1461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2021-02-18T08:52:00Z</dcterms:created>
  <dc:creator>000</dc:creator>
  <cp:lastModifiedBy>Admin</cp:lastModifiedBy>
  <dcterms:modified xsi:type="dcterms:W3CDTF">2022-01-12T09:02:17Z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B2902BBCACCE4F53B2C41C6502D0B4C5</vt:lpwstr>
  </property>
</Properties>
</file>