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740" w:lineRule="exact"/>
        <w:ind w:firstLine="0" w:firstLineChars="0"/>
        <w:jc w:val="both"/>
        <w:rPr>
          <w:rFonts w:hint="default" w:ascii="宋体" w:hAnsi="宋体" w:eastAsia="Times New Roman"/>
          <w:color w:val="auto"/>
          <w:sz w:val="36"/>
          <w:highlight w:val="none"/>
        </w:rPr>
      </w:pPr>
    </w:p>
    <w:p>
      <w:pPr>
        <w:pStyle w:val="3"/>
        <w:spacing w:line="740" w:lineRule="exact"/>
        <w:ind w:firstLine="0" w:firstLineChars="0"/>
        <w:jc w:val="both"/>
        <w:rPr>
          <w:rFonts w:hint="default" w:ascii="宋体" w:hAnsi="宋体" w:eastAsia="Times New Roman"/>
          <w:color w:val="auto"/>
          <w:sz w:val="36"/>
          <w:highlight w:val="none"/>
        </w:rPr>
      </w:pPr>
    </w:p>
    <w:p>
      <w:pPr>
        <w:pStyle w:val="3"/>
        <w:spacing w:before="312" w:beforeLines="100" w:line="200" w:lineRule="exact"/>
        <w:ind w:firstLine="0" w:firstLineChars="0"/>
        <w:jc w:val="both"/>
        <w:rPr>
          <w:rFonts w:hint="default" w:ascii="宋体" w:hAnsi="宋体"/>
          <w:color w:val="auto"/>
          <w:sz w:val="36"/>
          <w:highlight w:val="none"/>
        </w:rPr>
      </w:pPr>
    </w:p>
    <w:p>
      <w:pPr>
        <w:pStyle w:val="3"/>
        <w:spacing w:before="468" w:beforeLines="150" w:line="560" w:lineRule="exact"/>
        <w:ind w:firstLine="0" w:firstLineChars="0"/>
        <w:jc w:val="center"/>
        <w:rPr>
          <w:rFonts w:hint="default" w:ascii="宋体" w:hAnsi="宋体" w:eastAsia="仿宋_GB2312" w:cs="仿宋_GB2312"/>
          <w:b w:val="0"/>
          <w:color w:val="auto"/>
          <w:kern w:val="2"/>
          <w:sz w:val="32"/>
          <w:szCs w:val="32"/>
          <w:highlight w:val="none"/>
          <w:lang w:val="en-US" w:eastAsia="zh-CN" w:bidi="ar-SA"/>
        </w:rPr>
      </w:pPr>
      <w:r>
        <w:rPr>
          <w:rFonts w:hint="eastAsia" w:ascii="宋体" w:hAnsi="宋体" w:eastAsia="仿宋_GB2312" w:cs="仿宋_GB2312"/>
          <w:b w:val="0"/>
          <w:color w:val="auto"/>
          <w:kern w:val="2"/>
          <w:sz w:val="32"/>
          <w:szCs w:val="32"/>
          <w:highlight w:val="none"/>
          <w:lang w:val="en-US" w:eastAsia="zh-CN" w:bidi="ar-SA"/>
        </w:rPr>
        <w:t>区发改投字〔202</w:t>
      </w:r>
      <w:r>
        <w:rPr>
          <w:rFonts w:hint="eastAsia" w:ascii="宋体" w:hAnsi="宋体" w:cs="仿宋_GB2312"/>
          <w:b w:val="0"/>
          <w:color w:val="auto"/>
          <w:kern w:val="2"/>
          <w:sz w:val="32"/>
          <w:szCs w:val="32"/>
          <w:highlight w:val="none"/>
          <w:lang w:val="en-US" w:eastAsia="zh-CN" w:bidi="ar-SA"/>
        </w:rPr>
        <w:t>3</w:t>
      </w:r>
      <w:r>
        <w:rPr>
          <w:rFonts w:hint="eastAsia" w:ascii="宋体" w:hAnsi="宋体" w:eastAsia="仿宋_GB2312" w:cs="仿宋_GB2312"/>
          <w:b w:val="0"/>
          <w:color w:val="auto"/>
          <w:kern w:val="2"/>
          <w:sz w:val="32"/>
          <w:szCs w:val="32"/>
          <w:highlight w:val="none"/>
          <w:lang w:val="en-US" w:eastAsia="zh-CN" w:bidi="ar-SA"/>
        </w:rPr>
        <w:t>〕</w:t>
      </w:r>
      <w:r>
        <w:rPr>
          <w:rFonts w:hint="eastAsia" w:ascii="宋体" w:hAnsi="宋体" w:cs="仿宋_GB2312"/>
          <w:b w:val="0"/>
          <w:color w:val="auto"/>
          <w:kern w:val="2"/>
          <w:sz w:val="32"/>
          <w:szCs w:val="32"/>
          <w:highlight w:val="none"/>
          <w:lang w:val="en-US" w:eastAsia="zh-CN" w:bidi="ar-SA"/>
        </w:rPr>
        <w:t>52</w:t>
      </w:r>
      <w:r>
        <w:rPr>
          <w:rFonts w:hint="eastAsia" w:ascii="宋体" w:hAnsi="宋体" w:eastAsia="仿宋_GB2312" w:cs="仿宋_GB2312"/>
          <w:b w:val="0"/>
          <w:color w:val="auto"/>
          <w:kern w:val="2"/>
          <w:sz w:val="32"/>
          <w:szCs w:val="32"/>
          <w:highlight w:val="none"/>
          <w:lang w:val="en-US" w:eastAsia="zh-CN" w:bidi="ar-SA"/>
        </w:rPr>
        <w:t>号</w:t>
      </w:r>
    </w:p>
    <w:p>
      <w:pPr>
        <w:pStyle w:val="3"/>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宋体" w:hAnsi="宋体"/>
          <w:color w:val="auto"/>
          <w:sz w:val="36"/>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宋体" w:hAnsi="宋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方正小标宋简体" w:cs="方正小标宋简体"/>
          <w:color w:val="auto"/>
          <w:sz w:val="44"/>
          <w:szCs w:val="44"/>
          <w:highlight w:val="none"/>
        </w:rPr>
      </w:pP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宋体" w:hAnsi="宋体" w:eastAsia="方正小标宋简体" w:cs="方正小标宋简体"/>
          <w:color w:val="auto"/>
          <w:sz w:val="44"/>
          <w:szCs w:val="44"/>
          <w:highlight w:val="none"/>
        </w:rPr>
      </w:pPr>
      <w:bookmarkStart w:id="0" w:name="_GoBack"/>
      <w:r>
        <w:rPr>
          <w:rFonts w:hint="eastAsia" w:ascii="宋体" w:hAnsi="宋体" w:eastAsia="方正小标宋简体" w:cs="方正小标宋简体"/>
          <w:color w:val="auto"/>
          <w:sz w:val="44"/>
          <w:szCs w:val="44"/>
          <w:highlight w:val="none"/>
        </w:rPr>
        <w:t>关于下达</w:t>
      </w:r>
      <w:r>
        <w:rPr>
          <w:rFonts w:hint="eastAsia" w:ascii="宋体" w:hAnsi="宋体" w:eastAsia="方正小标宋简体" w:cs="方正小标宋简体"/>
          <w:color w:val="auto"/>
          <w:sz w:val="44"/>
          <w:szCs w:val="44"/>
          <w:highlight w:val="none"/>
          <w:lang w:eastAsia="zh-CN"/>
        </w:rPr>
        <w:t>章贡区</w:t>
      </w:r>
      <w:r>
        <w:rPr>
          <w:rFonts w:hint="eastAsia" w:ascii="宋体" w:hAnsi="宋体" w:eastAsia="方正小标宋简体" w:cs="方正小标宋简体"/>
          <w:color w:val="auto"/>
          <w:sz w:val="44"/>
          <w:szCs w:val="44"/>
          <w:highlight w:val="none"/>
        </w:rPr>
        <w:t>排水设施建设2023年</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宋体" w:hAnsi="宋体" w:eastAsia="方正小标宋简体" w:cs="方正小标宋简体"/>
          <w:color w:val="auto"/>
          <w:sz w:val="44"/>
          <w:szCs w:val="44"/>
          <w:highlight w:val="none"/>
        </w:rPr>
      </w:pPr>
      <w:r>
        <w:rPr>
          <w:rFonts w:hint="eastAsia" w:ascii="宋体" w:hAnsi="宋体" w:eastAsia="方正小标宋简体" w:cs="方正小标宋简体"/>
          <w:color w:val="auto"/>
          <w:sz w:val="44"/>
          <w:szCs w:val="44"/>
          <w:highlight w:val="none"/>
        </w:rPr>
        <w:t>中央预算内投资计划的通知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宋体" w:hAnsi="宋体"/>
          <w:color w:val="auto"/>
          <w:highlight w:val="none"/>
        </w:rPr>
      </w:pPr>
    </w:p>
    <w:bookmarkEnd w:id="0"/>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highlight w:val="none"/>
          <w:lang w:eastAsia="zh-CN"/>
        </w:rPr>
        <w:t>赣州创新投资发展有限公司：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为加强排水设施建设，</w:t>
      </w:r>
      <w:r>
        <w:rPr>
          <w:rFonts w:hint="eastAsia" w:ascii="宋体" w:hAnsi="宋体" w:eastAsia="仿宋_GB2312" w:cs="仿宋_GB2312"/>
          <w:color w:val="auto"/>
          <w:sz w:val="32"/>
          <w:szCs w:val="32"/>
          <w:highlight w:val="none"/>
          <w:lang w:eastAsia="zh-CN"/>
        </w:rPr>
        <w:t>市</w:t>
      </w:r>
      <w:r>
        <w:rPr>
          <w:rFonts w:hint="eastAsia" w:ascii="宋体" w:hAnsi="宋体" w:eastAsia="仿宋_GB2312" w:cs="仿宋_GB2312"/>
          <w:color w:val="auto"/>
          <w:sz w:val="32"/>
          <w:szCs w:val="32"/>
          <w:highlight w:val="none"/>
        </w:rPr>
        <w:t>发改委下发了《关于下达赣州市排水设施建设2023年中央预算内投资计划的通知》（赣</w:t>
      </w:r>
      <w:r>
        <w:rPr>
          <w:rFonts w:hint="eastAsia" w:ascii="宋体" w:hAnsi="宋体" w:eastAsia="仿宋_GB2312" w:cs="仿宋_GB2312"/>
          <w:color w:val="auto"/>
          <w:sz w:val="32"/>
          <w:szCs w:val="32"/>
          <w:highlight w:val="none"/>
          <w:lang w:eastAsia="zh-CN"/>
        </w:rPr>
        <w:t>市</w:t>
      </w:r>
      <w:r>
        <w:rPr>
          <w:rFonts w:hint="eastAsia" w:ascii="宋体" w:hAnsi="宋体" w:eastAsia="仿宋_GB2312" w:cs="仿宋_GB2312"/>
          <w:color w:val="auto"/>
          <w:sz w:val="32"/>
          <w:szCs w:val="32"/>
          <w:highlight w:val="none"/>
        </w:rPr>
        <w:t>发改投资〔2023〕</w:t>
      </w:r>
      <w:r>
        <w:rPr>
          <w:rFonts w:hint="eastAsia" w:ascii="宋体" w:hAnsi="宋体" w:eastAsia="仿宋_GB2312" w:cs="仿宋_GB2312"/>
          <w:color w:val="auto"/>
          <w:sz w:val="32"/>
          <w:szCs w:val="32"/>
          <w:highlight w:val="none"/>
          <w:lang w:val="en-US" w:eastAsia="zh-CN"/>
        </w:rPr>
        <w:t>248</w:t>
      </w:r>
      <w:r>
        <w:rPr>
          <w:rFonts w:hint="eastAsia" w:ascii="宋体" w:hAnsi="宋体" w:eastAsia="仿宋_GB2312" w:cs="仿宋_GB2312"/>
          <w:color w:val="auto"/>
          <w:sz w:val="32"/>
          <w:szCs w:val="32"/>
          <w:highlight w:val="none"/>
        </w:rPr>
        <w:t>号）。现将我</w:t>
      </w:r>
      <w:r>
        <w:rPr>
          <w:rFonts w:hint="eastAsia" w:ascii="宋体" w:hAnsi="宋体" w:eastAsia="仿宋_GB2312" w:cs="仿宋_GB2312"/>
          <w:color w:val="auto"/>
          <w:sz w:val="32"/>
          <w:szCs w:val="32"/>
          <w:highlight w:val="none"/>
          <w:lang w:eastAsia="zh-CN"/>
        </w:rPr>
        <w:t>区</w:t>
      </w:r>
      <w:r>
        <w:rPr>
          <w:rFonts w:hint="eastAsia" w:ascii="宋体" w:hAnsi="宋体" w:eastAsia="仿宋_GB2312" w:cs="仿宋_GB2312"/>
          <w:color w:val="auto"/>
          <w:sz w:val="32"/>
          <w:szCs w:val="32"/>
          <w:highlight w:val="none"/>
        </w:rPr>
        <w:t>投资计划下达给你</w:t>
      </w:r>
      <w:r>
        <w:rPr>
          <w:rFonts w:hint="eastAsia" w:ascii="宋体" w:hAnsi="宋体" w:eastAsia="仿宋_GB2312" w:cs="仿宋_GB2312"/>
          <w:color w:val="auto"/>
          <w:sz w:val="32"/>
          <w:szCs w:val="32"/>
          <w:highlight w:val="none"/>
          <w:lang w:eastAsia="zh-CN"/>
        </w:rPr>
        <w:t>公司</w:t>
      </w:r>
      <w:r>
        <w:rPr>
          <w:rFonts w:hint="eastAsia" w:ascii="宋体" w:hAnsi="宋体" w:eastAsia="仿宋_GB2312" w:cs="仿宋_GB2312"/>
          <w:color w:val="auto"/>
          <w:sz w:val="32"/>
          <w:szCs w:val="32"/>
          <w:highlight w:val="none"/>
        </w:rPr>
        <w:t>（详见附件</w:t>
      </w:r>
      <w:r>
        <w:rPr>
          <w:rFonts w:hint="eastAsia" w:ascii="宋体" w:hAnsi="宋体" w:eastAsia="仿宋_GB2312" w:cs="仿宋_GB2312"/>
          <w:color w:val="auto"/>
          <w:sz w:val="32"/>
          <w:szCs w:val="32"/>
          <w:highlight w:val="none"/>
          <w:lang w:val="en-US" w:eastAsia="zh-CN"/>
        </w:rPr>
        <w:t>1</w:t>
      </w:r>
      <w:r>
        <w:rPr>
          <w:rFonts w:hint="eastAsia" w:ascii="宋体" w:hAnsi="宋体" w:eastAsia="仿宋_GB2312" w:cs="仿宋_GB2312"/>
          <w:color w:val="auto"/>
          <w:sz w:val="32"/>
          <w:szCs w:val="32"/>
          <w:highlight w:val="none"/>
        </w:rPr>
        <w:t>），并就有关事项通知如下：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黑体" w:cs="黑体"/>
          <w:color w:val="auto"/>
          <w:sz w:val="32"/>
          <w:szCs w:val="32"/>
          <w:highlight w:val="none"/>
        </w:rPr>
      </w:pPr>
      <w:r>
        <w:rPr>
          <w:rFonts w:hint="eastAsia" w:ascii="宋体" w:hAnsi="宋体" w:eastAsia="黑体" w:cs="黑体"/>
          <w:color w:val="auto"/>
          <w:sz w:val="32"/>
          <w:szCs w:val="32"/>
          <w:highlight w:val="none"/>
        </w:rPr>
        <w:t>一、</w:t>
      </w:r>
      <w:r>
        <w:rPr>
          <w:rFonts w:hint="eastAsia" w:ascii="宋体" w:hAnsi="宋体" w:eastAsia="黑体" w:cs="黑体"/>
          <w:color w:val="auto"/>
          <w:sz w:val="32"/>
          <w:szCs w:val="32"/>
          <w:highlight w:val="none"/>
          <w:lang w:eastAsia="zh-CN"/>
        </w:rPr>
        <w:t>加强</w:t>
      </w:r>
      <w:r>
        <w:rPr>
          <w:rFonts w:hint="eastAsia" w:ascii="宋体" w:hAnsi="宋体" w:eastAsia="黑体" w:cs="黑体"/>
          <w:color w:val="auto"/>
          <w:sz w:val="32"/>
          <w:szCs w:val="32"/>
          <w:highlight w:val="none"/>
        </w:rPr>
        <w:t>项目实施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请严格按照《国家发展改革委关于修订印发〈排水设施建设中央预算内投资专项管理暂行办法〉的通知》（发改投资规〔2021〕698号）</w:t>
      </w:r>
      <w:r>
        <w:rPr>
          <w:rFonts w:hint="eastAsia" w:ascii="宋体" w:hAnsi="宋体" w:eastAsia="仿宋_GB2312" w:cs="仿宋_GB2312"/>
          <w:color w:val="auto"/>
          <w:sz w:val="32"/>
          <w:szCs w:val="32"/>
          <w:highlight w:val="none"/>
          <w:lang w:eastAsia="zh-CN"/>
        </w:rPr>
        <w:t>和</w:t>
      </w:r>
      <w:r>
        <w:rPr>
          <w:rFonts w:hint="eastAsia" w:ascii="宋体" w:hAnsi="宋体" w:eastAsia="仿宋_GB2312" w:cs="仿宋_GB2312"/>
          <w:color w:val="auto"/>
          <w:sz w:val="32"/>
          <w:szCs w:val="32"/>
          <w:highlight w:val="none"/>
        </w:rPr>
        <w:t>《江西省发展改革委转发国家发展改革委关于修订印发＜排水设施建设中央预算内投资专项管理暂行办法〉的通知》（赣发改投资〔2021〕468号）文件要求，认真组织实施，加强项目管理，严格按照批准项目名称、建设内容、建设规模和下达的中央预算内投资进行建设，严禁截留、挤占或挪作他用。项目建设所需其他资金要确保足额及时到位。严禁未经批准擅自变更建设内容和建设规模，如确需调整，须按程序报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黑体" w:cs="黑体"/>
          <w:color w:val="auto"/>
          <w:sz w:val="32"/>
          <w:szCs w:val="32"/>
          <w:highlight w:val="none"/>
        </w:rPr>
      </w:pPr>
      <w:r>
        <w:rPr>
          <w:rFonts w:hint="eastAsia" w:ascii="宋体" w:hAnsi="宋体" w:eastAsia="黑体" w:cs="黑体"/>
          <w:color w:val="auto"/>
          <w:sz w:val="32"/>
          <w:szCs w:val="32"/>
          <w:highlight w:val="none"/>
        </w:rPr>
        <w:t>二、</w:t>
      </w:r>
      <w:r>
        <w:rPr>
          <w:rFonts w:hint="eastAsia" w:ascii="宋体" w:hAnsi="宋体" w:eastAsia="黑体" w:cs="黑体"/>
          <w:color w:val="auto"/>
          <w:sz w:val="32"/>
          <w:szCs w:val="32"/>
          <w:highlight w:val="none"/>
          <w:lang w:eastAsia="zh-CN"/>
        </w:rPr>
        <w:t>加强项目</w:t>
      </w:r>
      <w:r>
        <w:rPr>
          <w:rFonts w:hint="eastAsia" w:ascii="宋体" w:hAnsi="宋体" w:eastAsia="黑体" w:cs="黑体"/>
          <w:color w:val="auto"/>
          <w:sz w:val="32"/>
          <w:szCs w:val="32"/>
          <w:highlight w:val="none"/>
        </w:rPr>
        <w:t>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highlight w:val="none"/>
          <w:lang w:eastAsia="zh-CN"/>
        </w:rPr>
        <w:t>项目单位要根据赣州市城市内涝治理系统化实施方案统筹实施建设，将排水设施建设改造与洪涝灾后恢复重建、污水处理设施建设、老旧小区改造等有机结合，优化各类工程的空间布局和建设时序安排，避免反复开挖、“马路拉链”“遍地开花”等现象过度影响居民生活，并切实提高城市内涝防治能力和安全保障水平，早日形成排水防涝系统化能力。排水设施建设项目实施时应统筹安排同一区域或路段有建设需求的城镇生活污水管网项目。本次安排的排水设施建设项目不得使用其他中央预算内投资专项或其他中央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严格落实投资计划执行和项目监管的主体责任，按要求签署综合信用承诺书并上传到国家重大建设项目库</w:t>
      </w:r>
      <w:r>
        <w:rPr>
          <w:rFonts w:hint="eastAsia" w:ascii="宋体" w:hAnsi="宋体" w:eastAsia="仿宋_GB2312" w:cs="仿宋_GB2312"/>
          <w:color w:val="auto"/>
          <w:sz w:val="32"/>
          <w:szCs w:val="32"/>
          <w:highlight w:val="none"/>
          <w:lang w:eastAsia="zh-CN"/>
        </w:rPr>
        <w:t>，日常监管直接责任单位要制定日常监管工作方案，明确具体监管方式和要求，建立、管理日常监管台账；日常监管直接责任单位监管责任人要做到“三到现场”，即开工到现场、建设到现场、竣工到现场，并及时主动向上级相关部门报告。</w:t>
      </w:r>
      <w:r>
        <w:rPr>
          <w:rFonts w:hint="eastAsia" w:ascii="宋体" w:hAnsi="宋体" w:eastAsia="仿宋_GB2312" w:cs="仿宋_GB2312"/>
          <w:color w:val="auto"/>
          <w:sz w:val="32"/>
          <w:szCs w:val="32"/>
          <w:highlight w:val="none"/>
        </w:rPr>
        <w:t>自觉接受各级监管部门和监管责任人的监督检查。对监管部门指出的问题要积极整改，并及时向有关部门报送整改情况。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lang w:eastAsia="zh-CN"/>
        </w:rPr>
        <w:t>我委将会同相关部门加大监督检查工作力度，适时对计划执行情况进行检查，重点检查项目管理、资金使用、施工进度、工程质量等。</w:t>
      </w:r>
      <w:r>
        <w:rPr>
          <w:rFonts w:hint="eastAsia" w:ascii="宋体" w:hAnsi="宋体" w:eastAsia="仿宋_GB2312" w:cs="仿宋_GB2312"/>
          <w:color w:val="auto"/>
          <w:sz w:val="32"/>
          <w:szCs w:val="32"/>
          <w:highlight w:val="none"/>
        </w:rPr>
        <w:t>对于投资计划执行不力的项目</w:t>
      </w:r>
      <w:r>
        <w:rPr>
          <w:rFonts w:hint="eastAsia" w:ascii="宋体" w:hAnsi="宋体" w:eastAsia="仿宋_GB2312" w:cs="仿宋_GB2312"/>
          <w:color w:val="auto"/>
          <w:sz w:val="32"/>
          <w:szCs w:val="32"/>
          <w:highlight w:val="none"/>
          <w:lang w:eastAsia="zh-CN"/>
        </w:rPr>
        <w:t>，</w:t>
      </w:r>
      <w:r>
        <w:rPr>
          <w:rFonts w:hint="eastAsia" w:ascii="宋体" w:hAnsi="宋体" w:eastAsia="仿宋_GB2312" w:cs="仿宋_GB2312"/>
          <w:color w:val="auto"/>
          <w:sz w:val="32"/>
          <w:szCs w:val="32"/>
          <w:highlight w:val="none"/>
        </w:rPr>
        <w:t>将按照有关规定，对有关单位和相关责任人员实施处罚。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黑体" w:cs="黑体"/>
          <w:color w:val="auto"/>
          <w:sz w:val="32"/>
          <w:szCs w:val="32"/>
          <w:highlight w:val="none"/>
          <w:lang w:val="en-US" w:eastAsia="zh-CN"/>
        </w:rPr>
      </w:pPr>
      <w:r>
        <w:rPr>
          <w:rFonts w:hint="eastAsia" w:ascii="宋体" w:hAnsi="宋体" w:eastAsia="黑体" w:cs="黑体"/>
          <w:color w:val="auto"/>
          <w:sz w:val="32"/>
          <w:szCs w:val="32"/>
          <w:highlight w:val="none"/>
        </w:rPr>
        <w:t>三、</w:t>
      </w:r>
      <w:r>
        <w:rPr>
          <w:rFonts w:hint="eastAsia" w:ascii="宋体" w:hAnsi="宋体" w:eastAsia="黑体" w:cs="黑体"/>
          <w:color w:val="auto"/>
          <w:sz w:val="32"/>
          <w:szCs w:val="32"/>
          <w:highlight w:val="none"/>
          <w:lang w:eastAsia="zh-CN"/>
        </w:rPr>
        <w:t>加强项目调度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highlight w:val="none"/>
        </w:rPr>
        <w:t>请</w:t>
      </w:r>
      <w:r>
        <w:rPr>
          <w:rFonts w:hint="eastAsia" w:ascii="宋体" w:hAnsi="宋体" w:eastAsia="仿宋_GB2312" w:cs="仿宋_GB2312"/>
          <w:color w:val="auto"/>
          <w:sz w:val="32"/>
          <w:szCs w:val="32"/>
          <w:highlight w:val="none"/>
          <w:lang w:eastAsia="zh-CN"/>
        </w:rPr>
        <w:t>项目单位</w:t>
      </w:r>
      <w:r>
        <w:rPr>
          <w:rFonts w:hint="eastAsia" w:ascii="宋体" w:hAnsi="宋体" w:eastAsia="仿宋_GB2312" w:cs="仿宋_GB2312"/>
          <w:color w:val="auto"/>
          <w:sz w:val="32"/>
          <w:szCs w:val="32"/>
          <w:highlight w:val="none"/>
        </w:rPr>
        <w:t>严格做好项目信息数据填报</w:t>
      </w:r>
      <w:r>
        <w:rPr>
          <w:rFonts w:hint="eastAsia" w:ascii="宋体" w:hAnsi="宋体" w:eastAsia="仿宋_GB2312" w:cs="仿宋_GB2312"/>
          <w:color w:val="auto"/>
          <w:sz w:val="32"/>
          <w:szCs w:val="32"/>
          <w:highlight w:val="none"/>
          <w:lang w:eastAsia="zh-CN"/>
        </w:rPr>
        <w:t>，</w:t>
      </w:r>
      <w:r>
        <w:rPr>
          <w:rFonts w:hint="eastAsia" w:ascii="宋体" w:hAnsi="宋体" w:eastAsia="仿宋_GB2312" w:cs="仿宋_GB2312"/>
          <w:color w:val="auto"/>
          <w:sz w:val="32"/>
          <w:szCs w:val="32"/>
          <w:highlight w:val="none"/>
        </w:rPr>
        <w:t>每月2号前通过全国投资项目在线审批监管平台（国家重大建设项目库）填报本批计划项目开工情况、投资完成情况、工程形象进度等数据</w:t>
      </w:r>
      <w:r>
        <w:rPr>
          <w:rFonts w:hint="eastAsia" w:ascii="宋体" w:hAnsi="宋体" w:eastAsia="仿宋_GB2312" w:cs="仿宋_GB2312"/>
          <w:color w:val="auto"/>
          <w:sz w:val="32"/>
          <w:szCs w:val="32"/>
          <w:highlight w:val="none"/>
          <w:lang w:eastAsia="zh-CN"/>
        </w:rPr>
        <w:t>和信息</w:t>
      </w:r>
      <w:r>
        <w:rPr>
          <w:rFonts w:hint="eastAsia" w:ascii="宋体" w:hAnsi="宋体" w:eastAsia="仿宋_GB2312" w:cs="仿宋_GB2312"/>
          <w:color w:val="auto"/>
          <w:sz w:val="32"/>
          <w:szCs w:val="32"/>
          <w:highlight w:val="none"/>
        </w:rPr>
        <w:t>。</w:t>
      </w:r>
      <w:r>
        <w:rPr>
          <w:rFonts w:hint="eastAsia" w:ascii="宋体" w:hAnsi="宋体" w:eastAsia="仿宋_GB2312" w:cs="仿宋_GB2312"/>
          <w:color w:val="auto"/>
          <w:sz w:val="32"/>
          <w:szCs w:val="32"/>
          <w:highlight w:val="none"/>
          <w:lang w:eastAsia="zh-CN"/>
        </w:rPr>
        <w:t>国家和省市</w:t>
      </w:r>
      <w:r>
        <w:rPr>
          <w:rFonts w:hint="eastAsia" w:ascii="宋体" w:hAnsi="宋体" w:eastAsia="仿宋_GB2312" w:cs="仿宋_GB2312"/>
          <w:color w:val="auto"/>
          <w:sz w:val="32"/>
          <w:szCs w:val="32"/>
          <w:highlight w:val="none"/>
        </w:rPr>
        <w:t>将根据调度情况，对建设进度慢、资金使用存在问题的地区进行通报，并督促进行整改</w:t>
      </w:r>
      <w:r>
        <w:rPr>
          <w:rFonts w:hint="eastAsia" w:ascii="宋体" w:hAnsi="宋体"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宋体" w:hAnsi="宋体" w:eastAsia="黑体" w:cs="黑体"/>
          <w:color w:val="auto"/>
          <w:sz w:val="32"/>
          <w:szCs w:val="32"/>
          <w:highlight w:val="none"/>
          <w:lang w:val="en-US" w:eastAsia="zh-CN"/>
        </w:rPr>
      </w:pPr>
      <w:r>
        <w:rPr>
          <w:rFonts w:hint="eastAsia" w:ascii="宋体" w:hAnsi="宋体" w:eastAsia="黑体" w:cs="黑体"/>
          <w:color w:val="auto"/>
          <w:sz w:val="32"/>
          <w:szCs w:val="32"/>
          <w:highlight w:val="none"/>
        </w:rPr>
        <w:t>四、</w:t>
      </w:r>
      <w:r>
        <w:rPr>
          <w:rFonts w:hint="eastAsia" w:ascii="宋体" w:hAnsi="宋体" w:eastAsia="黑体" w:cs="黑体"/>
          <w:color w:val="auto"/>
          <w:sz w:val="32"/>
          <w:szCs w:val="32"/>
          <w:highlight w:val="none"/>
          <w:lang w:eastAsia="zh-CN"/>
        </w:rPr>
        <w:t>加强</w:t>
      </w:r>
      <w:r>
        <w:rPr>
          <w:rFonts w:hint="eastAsia" w:ascii="宋体" w:hAnsi="宋体" w:eastAsia="黑体" w:cs="黑体"/>
          <w:color w:val="auto"/>
          <w:sz w:val="32"/>
          <w:szCs w:val="32"/>
          <w:highlight w:val="none"/>
        </w:rPr>
        <w:t>绩效目标</w:t>
      </w:r>
      <w:r>
        <w:rPr>
          <w:rFonts w:hint="eastAsia" w:ascii="宋体" w:hAnsi="宋体" w:eastAsia="黑体" w:cs="黑体"/>
          <w:color w:val="auto"/>
          <w:sz w:val="32"/>
          <w:szCs w:val="32"/>
          <w:highlight w:val="none"/>
          <w:lang w:eastAsia="zh-CN"/>
        </w:rPr>
        <w:t>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请</w:t>
      </w:r>
      <w:r>
        <w:rPr>
          <w:rFonts w:hint="eastAsia" w:ascii="宋体" w:hAnsi="宋体" w:eastAsia="仿宋_GB2312" w:cs="仿宋_GB2312"/>
          <w:color w:val="auto"/>
          <w:sz w:val="32"/>
          <w:szCs w:val="32"/>
          <w:highlight w:val="none"/>
          <w:lang w:eastAsia="zh-CN"/>
        </w:rPr>
        <w:t>严格对照投资计划绩效目标，</w:t>
      </w:r>
      <w:r>
        <w:rPr>
          <w:rFonts w:hint="eastAsia" w:ascii="宋体" w:hAnsi="宋体" w:eastAsia="仿宋_GB2312" w:cs="仿宋_GB2312"/>
          <w:color w:val="auto"/>
          <w:sz w:val="32"/>
          <w:szCs w:val="32"/>
          <w:highlight w:val="none"/>
        </w:rPr>
        <w:t>加强对绩效目标实现情况的监控，发现问题要及时纠正，确保绩效目标如期保质保量实现。绩效目标详见绩效目标表（附</w:t>
      </w:r>
      <w:r>
        <w:rPr>
          <w:rFonts w:hint="eastAsia" w:ascii="宋体" w:hAnsi="宋体" w:eastAsia="仿宋_GB2312" w:cs="仿宋_GB2312"/>
          <w:color w:val="auto"/>
          <w:sz w:val="32"/>
          <w:szCs w:val="32"/>
          <w:highlight w:val="none"/>
          <w:lang w:eastAsia="zh-CN"/>
        </w:rPr>
        <w:t>件</w:t>
      </w:r>
      <w:r>
        <w:rPr>
          <w:rFonts w:hint="eastAsia" w:ascii="宋体" w:hAnsi="宋体" w:eastAsia="仿宋_GB2312" w:cs="仿宋_GB2312"/>
          <w:color w:val="auto"/>
          <w:sz w:val="32"/>
          <w:szCs w:val="32"/>
          <w:highlight w:val="none"/>
          <w:lang w:val="en-US" w:eastAsia="zh-CN"/>
        </w:rPr>
        <w:t>2</w:t>
      </w:r>
      <w:r>
        <w:rPr>
          <w:rFonts w:hint="eastAsia" w:ascii="宋体" w:hAnsi="宋体"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附件：</w:t>
      </w:r>
      <w:r>
        <w:rPr>
          <w:rFonts w:hint="eastAsia" w:ascii="宋体" w:hAnsi="宋体" w:eastAsia="仿宋_GB2312" w:cs="仿宋_GB2312"/>
          <w:color w:val="auto"/>
          <w:spacing w:val="-6"/>
          <w:sz w:val="32"/>
          <w:szCs w:val="32"/>
          <w:highlight w:val="none"/>
        </w:rPr>
        <w:t>1.</w:t>
      </w:r>
      <w:r>
        <w:rPr>
          <w:rFonts w:hint="eastAsia" w:ascii="宋体" w:hAnsi="宋体" w:eastAsia="仿宋_GB2312" w:cs="仿宋_GB2312"/>
          <w:color w:val="auto"/>
          <w:spacing w:val="-6"/>
          <w:sz w:val="32"/>
          <w:szCs w:val="32"/>
          <w:highlight w:val="none"/>
          <w:lang w:eastAsia="zh-CN"/>
        </w:rPr>
        <w:t>章贡区排水设施建设</w:t>
      </w:r>
      <w:r>
        <w:rPr>
          <w:rFonts w:hint="eastAsia" w:ascii="宋体" w:hAnsi="宋体" w:eastAsia="仿宋_GB2312" w:cs="仿宋_GB2312"/>
          <w:color w:val="auto"/>
          <w:spacing w:val="-6"/>
          <w:sz w:val="32"/>
          <w:szCs w:val="32"/>
          <w:highlight w:val="none"/>
        </w:rPr>
        <w:t>2023年中央预算内投资计划表</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2.</w:t>
      </w:r>
      <w:r>
        <w:rPr>
          <w:rFonts w:hint="eastAsia" w:ascii="宋体" w:hAnsi="宋体" w:eastAsia="仿宋_GB2312" w:cs="仿宋_GB2312"/>
          <w:color w:val="auto"/>
          <w:sz w:val="32"/>
          <w:szCs w:val="32"/>
          <w:highlight w:val="none"/>
          <w:lang w:eastAsia="zh-CN"/>
        </w:rPr>
        <w:t>章贡区排水设施建设专项</w:t>
      </w:r>
      <w:r>
        <w:rPr>
          <w:rFonts w:hint="eastAsia" w:ascii="宋体" w:hAnsi="宋体" w:eastAsia="仿宋_GB2312" w:cs="仿宋_GB2312"/>
          <w:color w:val="auto"/>
          <w:sz w:val="32"/>
          <w:szCs w:val="32"/>
          <w:highlight w:val="none"/>
        </w:rPr>
        <w:t>2023年中央预算内投资</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计划绩效目标表</w:t>
      </w: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 xml:space="preserve">                  赣州市章贡区发展和改革委员会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 xml:space="preserve">                        2023年6月30日</w:t>
      </w: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Times New Roman"/>
          <w:color w:val="auto"/>
          <w:sz w:val="32"/>
          <w:szCs w:val="32"/>
          <w:highlight w:val="none"/>
        </w:rPr>
      </w:pPr>
      <w:r>
        <w:rPr>
          <w:rFonts w:hint="eastAsia" w:ascii="宋体" w:hAnsi="宋体" w:eastAsia="仿宋_GB2312" w:cs="仿宋_GB2312"/>
          <w:color w:val="auto"/>
          <w:sz w:val="32"/>
          <w:szCs w:val="32"/>
          <w:highlight w:val="none"/>
        </w:rPr>
        <w:t>抄送：</w:t>
      </w:r>
      <w:r>
        <w:rPr>
          <w:rFonts w:hint="eastAsia" w:ascii="宋体" w:hAnsi="宋体" w:eastAsia="仿宋_GB2312" w:cs="仿宋_GB2312"/>
          <w:color w:val="auto"/>
          <w:sz w:val="32"/>
          <w:szCs w:val="32"/>
          <w:highlight w:val="none"/>
          <w:lang w:eastAsia="zh-CN"/>
        </w:rPr>
        <w:t>区</w:t>
      </w:r>
      <w:r>
        <w:rPr>
          <w:rFonts w:hint="eastAsia" w:ascii="宋体" w:hAnsi="宋体" w:eastAsia="仿宋_GB2312" w:cs="仿宋_GB2312"/>
          <w:color w:val="auto"/>
          <w:sz w:val="32"/>
          <w:szCs w:val="32"/>
          <w:highlight w:val="none"/>
        </w:rPr>
        <w:t xml:space="preserve">财政局                   </w:t>
      </w:r>
      <w:r>
        <w:rPr>
          <w:rFonts w:hint="eastAsia" w:ascii="宋体" w:hAnsi="宋体" w:eastAsia="仿宋_GB2312" w:cs="Times New Roman"/>
          <w:color w:val="auto"/>
          <w:sz w:val="32"/>
          <w:szCs w:val="32"/>
          <w:highlight w:val="none"/>
        </w:rPr>
        <w:t xml:space="preserve">  </w:t>
      </w: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436880</wp:posOffset>
                </wp:positionV>
                <wp:extent cx="5558790" cy="3175"/>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558790" cy="317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0pt;margin-top:34.4pt;height:0.25pt;width:437.7pt;z-index:251659264;mso-width-relative:page;mso-height-relative:page;" filled="f" stroked="t" coordsize="21600,21600" o:gfxdata="UEsDBAoAAAAAAIdO4kAAAAAAAAAAAAAAAAAEAAAAZHJzL1BLAwQUAAAACACHTuJAoX15ltYAAAAG&#10;AQAADwAAAGRycy9kb3ducmV2LnhtbE2PwW7CMBBE75X4B2uReqmKHVogpHEQqtRDjwWkXk28JCnx&#10;OoodQvn6bk/tcWdGM2/zzdW14oJ9aDxpSGYKBFLpbUOVhsP+7TEFEaIha1pPqOEbA2yKyV1uMutH&#10;+sDLLlaCSyhkRkMdY5dJGcoanQkz3yGxd/K9M5HPvpK2NyOXu1bOlVpKZxrihdp0+Fpjed4NTgOG&#10;YZGo7dpVh/fb+PA5v32N3V7r+2miXkBEvMa/MPziMzoUzHT0A9kgWg38SNSwTJmf3XS1eAZxZGH9&#10;BLLI5X/84gdQSwMEFAAAAAgAh07iQGW3IOwEAgAA+QMAAA4AAABkcnMvZTJvRG9jLnhtbK1TzY7T&#10;MBC+I/EOlu80bVHY3ajpHlqWC4JKwAO4tpNY8p88btO+BC+AxAk4Aae98zSw+xg7dkoXlksP5OCM&#10;PTPfzPd5PLvcGU22MoBytqaT0ZgSabkTyrY1fff26sk5JRCZFUw7K2u6l0Av548fzXpfyanrnBYy&#10;EASxUPW+pl2MvioK4J00DEbOS4vOxgXDIm5DW4jAekQ3upiOx8+K3gXhg+MSAE+Xg5MeEMMpgK5p&#10;FJdLxzdG2jigBqlZRErQKQ90nrttGsnj66YBGYmuKTKNecUiaK/TWsxnrGoD853ihxbYKS084GSY&#10;slj0CLVkkZFNUP9AGcWDA9fEEXemGIhkRZDFZPxAmzcd8zJzQanBH0WH/wfLX21XgSiBk0CJZQYv&#10;/ObD9a/3n2++f/v56fr2x8dkf/1CJkmq3kOFGQu7Cocd+FVIvHdNMOmPjMguy7s/yit3kXA8LMvy&#10;/OwClefoezo5KxNkcZ/rA8QX0hmSjJpCDEy1XVw4a/EeXZhkhdn2JcQh8XdCKqwt6Wt6UU5LxGc4&#10;lw3OA5rGIzewbc4Fp5W4UlqnDAjteqED2bI0G/k7NPRXWCqyZNANcdmVwlgV3MaKbHWSiedWkLj3&#10;qJ/FZ0NTM0YKSrTEV5asHBmZ0qdEoiraojhJ8EHiZK2d2Gfl8zlORJbvML1p5P7c5+z7Fzu/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F9eZbWAAAABgEAAA8AAAAAAAAAAQAgAAAAIgAAAGRycy9k&#10;b3ducmV2LnhtbFBLAQIUABQAAAAIAIdO4kBltyDsBAIAAPkDAAAOAAAAAAAAAAEAIAAAACUBAABk&#10;cnMvZTJvRG9jLnhtbFBLBQYAAAAABgAGAFkBAACbBQAAAAA=&#10;">
                <v:fill on="f" focussize="0,0"/>
                <v:stroke color="#000000" joinstyle="round"/>
                <v:imagedata o:title=""/>
                <o:lock v:ext="edit" aspectratio="f"/>
              </v:shape>
            </w:pict>
          </mc:Fallback>
        </mc:AlternateContent>
      </w:r>
      <w:r>
        <w:rPr>
          <w:rFonts w:hint="eastAsia" w:ascii="宋体" w:hAnsi="宋体" w:eastAsia="仿宋_GB2312" w:cs="仿宋_GB2312"/>
          <w:color w:val="auto"/>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11430</wp:posOffset>
                </wp:positionV>
                <wp:extent cx="5558790" cy="3175"/>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558790" cy="317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0.75pt;margin-top:0.9pt;height:0.25pt;width:437.7pt;z-index:251660288;mso-width-relative:page;mso-height-relative:page;" filled="f" stroked="t" coordsize="21600,21600" o:gfxdata="UEsDBAoAAAAAAIdO4kAAAAAAAAAAAAAAAAAEAAAAZHJzL1BLAwQUAAAACACHTuJABfBEVNYAAAAG&#10;AQAADwAAAGRycy9kb3ducmV2LnhtbE2PzW7CMBCE75X6DtZW6qUCO0G0EOIghNRDj/xIvZp4SdLG&#10;6yh2COXp2Z7a4+yMZr7N11fXigv2ofGkIZkqEEiltw1VGo6H98kCRIiGrGk9oYYfDLAuHh9yk1k/&#10;0g4v+1gJLqGQGQ11jF0mZShrdCZMfYfE3tn3zkSWfSVtb0Yud61MlXqVzjTEC7XpcFtj+b0fnAYM&#10;wzxRm6Wrjh+38eUzvX2N3UHr56dErUBEvMa/MPziMzoUzHTyA9kgWg2TZM5JvvMDbC/eZksQJw3p&#10;DGSRy//4xR1QSwMEFAAAAAgAh07iQBCdcx4EAgAA+QMAAA4AAABkcnMvZTJvRG9jLnhtbK1TzY7T&#10;MBC+I/EOlu80bVHY3ajpHlqWC4JKwAO4tpNY8p88btO+BC+AxAk4Aae98zSw+xg7dkoXlksP5OCM&#10;PTPfzPd5PLvcGU22MoBytqaT0ZgSabkTyrY1fff26sk5JRCZFUw7K2u6l0Av548fzXpfyanrnBYy&#10;EASxUPW+pl2MvioK4J00DEbOS4vOxgXDIm5DW4jAekQ3upiOx8+K3gXhg+MSAE+Xg5MeEMMpgK5p&#10;FJdLxzdG2jigBqlZRErQKQ90nrttGsnj66YBGYmuKTKNecUiaK/TWsxnrGoD853ihxbYKS084GSY&#10;slj0CLVkkZFNUP9AGcWDA9fEEXemGIhkRZDFZPxAmzcd8zJzQanBH0WH/wfLX21XgShR0ykllhm8&#10;8JsP17/ef775/u3np+vbHx+T/fULmSapeg8VZizsKhx24Fch8d41waQ/MiK7LO/+KK/cRcLxsCzL&#10;87MLVJ6j7+nkrEyQxX2uDxBfSGdIMmoKMTDVdnHhrMV7dGGSFWbblxCHxN8JqbC2pK/pRTktEZ/h&#10;XDY4D2gaj9zAtjkXnFbiSmmdMiC064UOZMvSbOTv0NBfYanIkkE3xGVXCmNVcBsrstVJJp5bQeLe&#10;o34Wnw1NzRgpKNESX1mycmRkSp8Siapoi+IkwQeJk7V2Yp+Vz+c4EVm+w/Smkftzn7PvX+z8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XwRFTWAAAABgEAAA8AAAAAAAAAAQAgAAAAIgAAAGRycy9k&#10;b3ducmV2LnhtbFBLAQIUABQAAAAIAIdO4kAQnXMeBAIAAPkDAAAOAAAAAAAAAAEAIAAAACUBAABk&#10;cnMvZTJvRG9jLnhtbFBLBQYAAAAABgAGAFkBAACbBQAAAAA=&#10;">
                <v:fill on="f" focussize="0,0"/>
                <v:stroke color="#000000" joinstyle="round"/>
                <v:imagedata o:title=""/>
                <o:lock v:ext="edit" aspectratio="f"/>
              </v:shape>
            </w:pict>
          </mc:Fallback>
        </mc:AlternateContent>
      </w:r>
      <w:r>
        <w:rPr>
          <w:rFonts w:hint="eastAsia" w:ascii="宋体" w:hAnsi="宋体" w:eastAsia="仿宋_GB2312" w:cs="仿宋_GB2312"/>
          <w:color w:val="auto"/>
          <w:sz w:val="28"/>
          <w:szCs w:val="28"/>
          <w:highlight w:val="none"/>
        </w:rPr>
        <w:t xml:space="preserve"> 赣州市章贡区发展和改革委员会办公室</w:t>
      </w:r>
      <w:r>
        <w:rPr>
          <w:rFonts w:hint="eastAsia" w:ascii="宋体" w:hAnsi="宋体" w:eastAsia="仿宋_GB2312" w:cs="仿宋_GB2312"/>
          <w:color w:val="auto"/>
          <w:spacing w:val="-20"/>
          <w:sz w:val="28"/>
          <w:szCs w:val="28"/>
          <w:highlight w:val="none"/>
        </w:rPr>
        <w:t xml:space="preserve">      </w:t>
      </w:r>
      <w:r>
        <w:rPr>
          <w:rFonts w:hint="eastAsia" w:ascii="宋体" w:hAnsi="宋体" w:eastAsia="仿宋_GB2312" w:cs="仿宋_GB2312"/>
          <w:color w:val="auto"/>
          <w:spacing w:val="-20"/>
          <w:sz w:val="28"/>
          <w:szCs w:val="28"/>
          <w:highlight w:val="none"/>
          <w:lang w:val="en-US" w:eastAsia="zh-CN"/>
        </w:rPr>
        <w:t xml:space="preserve">  </w:t>
      </w:r>
      <w:r>
        <w:rPr>
          <w:rFonts w:hint="eastAsia" w:ascii="宋体" w:hAnsi="宋体" w:eastAsia="仿宋_GB2312" w:cs="仿宋_GB2312"/>
          <w:color w:val="auto"/>
          <w:spacing w:val="-20"/>
          <w:sz w:val="28"/>
          <w:szCs w:val="28"/>
          <w:highlight w:val="none"/>
        </w:rPr>
        <w:t xml:space="preserve">  </w:t>
      </w:r>
      <w:r>
        <w:rPr>
          <w:rFonts w:hint="eastAsia" w:ascii="宋体" w:hAnsi="宋体" w:eastAsia="仿宋_GB2312" w:cs="仿宋_GB2312"/>
          <w:color w:val="auto"/>
          <w:sz w:val="28"/>
          <w:szCs w:val="28"/>
          <w:highlight w:val="none"/>
        </w:rPr>
        <w:t>202</w:t>
      </w:r>
      <w:r>
        <w:rPr>
          <w:rFonts w:hint="eastAsia" w:ascii="宋体" w:hAnsi="宋体" w:cs="仿宋_GB2312"/>
          <w:color w:val="auto"/>
          <w:sz w:val="28"/>
          <w:szCs w:val="28"/>
          <w:highlight w:val="none"/>
          <w:lang w:val="en-US" w:eastAsia="zh-CN"/>
        </w:rPr>
        <w:t>3</w:t>
      </w:r>
      <w:r>
        <w:rPr>
          <w:rFonts w:hint="eastAsia" w:ascii="宋体" w:hAnsi="宋体" w:eastAsia="仿宋_GB2312" w:cs="仿宋_GB2312"/>
          <w:color w:val="auto"/>
          <w:sz w:val="28"/>
          <w:szCs w:val="28"/>
          <w:highlight w:val="none"/>
        </w:rPr>
        <w:t>年</w:t>
      </w:r>
      <w:r>
        <w:rPr>
          <w:rFonts w:hint="eastAsia" w:ascii="宋体" w:hAnsi="宋体" w:cs="仿宋_GB2312"/>
          <w:color w:val="auto"/>
          <w:sz w:val="28"/>
          <w:szCs w:val="28"/>
          <w:highlight w:val="none"/>
          <w:lang w:val="en-US" w:eastAsia="zh-CN"/>
        </w:rPr>
        <w:t>6</w:t>
      </w:r>
      <w:r>
        <w:rPr>
          <w:rFonts w:hint="eastAsia" w:ascii="宋体" w:hAnsi="宋体" w:eastAsia="仿宋_GB2312" w:cs="仿宋_GB2312"/>
          <w:color w:val="auto"/>
          <w:sz w:val="28"/>
          <w:szCs w:val="28"/>
          <w:highlight w:val="none"/>
        </w:rPr>
        <w:t>月</w:t>
      </w:r>
      <w:r>
        <w:rPr>
          <w:rFonts w:hint="eastAsia" w:ascii="宋体" w:hAnsi="宋体" w:eastAsia="仿宋_GB2312" w:cs="仿宋_GB2312"/>
          <w:color w:val="auto"/>
          <w:sz w:val="28"/>
          <w:szCs w:val="28"/>
          <w:highlight w:val="none"/>
          <w:lang w:val="en-US" w:eastAsia="zh-CN"/>
        </w:rPr>
        <w:t>30</w:t>
      </w:r>
      <w:r>
        <w:rPr>
          <w:rFonts w:hint="eastAsia" w:ascii="宋体" w:hAnsi="宋体" w:eastAsia="仿宋_GB2312" w:cs="仿宋_GB2312"/>
          <w:color w:val="auto"/>
          <w:sz w:val="28"/>
          <w:szCs w:val="28"/>
          <w:highlight w:val="none"/>
        </w:rPr>
        <w:t>日印</w:t>
      </w:r>
      <w:r>
        <w:rPr>
          <w:rFonts w:hint="eastAsia" w:ascii="宋体" w:hAnsi="宋体" w:eastAsia="仿宋_GB2312" w:cs="仿宋_GB2312"/>
          <w:color w:val="auto"/>
          <w:sz w:val="28"/>
          <w:szCs w:val="28"/>
          <w:highlight w:val="none"/>
          <w:lang w:eastAsia="zh-CN"/>
        </w:rPr>
        <w:t>发</w:t>
      </w: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黑体" w:cs="黑体"/>
          <w:color w:val="auto"/>
          <w:sz w:val="32"/>
          <w:szCs w:val="32"/>
          <w:highlight w:val="none"/>
          <w:lang w:eastAsia="zh-CN"/>
        </w:rPr>
        <w:sectPr>
          <w:pgSz w:w="11906" w:h="16838"/>
          <w:pgMar w:top="2098" w:right="1587" w:bottom="2098" w:left="158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63" w:afterLines="50" w:line="560" w:lineRule="exact"/>
        <w:textAlignment w:val="auto"/>
        <w:rPr>
          <w:rFonts w:hint="eastAsia" w:ascii="宋体" w:hAnsi="宋体" w:eastAsia="仿宋_GB2312" w:cs="仿宋_GB2312"/>
          <w:color w:val="auto"/>
          <w:sz w:val="32"/>
          <w:szCs w:val="32"/>
          <w:highlight w:val="none"/>
        </w:rPr>
      </w:pPr>
      <w:r>
        <w:rPr>
          <w:rFonts w:hint="eastAsia" w:ascii="宋体" w:hAnsi="宋体" w:eastAsia="黑体" w:cs="黑体"/>
          <w:color w:val="auto"/>
          <w:sz w:val="32"/>
          <w:szCs w:val="32"/>
          <w:highlight w:val="none"/>
          <w:lang w:eastAsia="zh-CN"/>
        </w:rPr>
        <w:t>附件</w:t>
      </w:r>
      <w:r>
        <w:rPr>
          <w:rFonts w:hint="eastAsia" w:ascii="宋体" w:hAnsi="宋体" w:eastAsia="黑体" w:cs="黑体"/>
          <w:color w:val="auto"/>
          <w:sz w:val="32"/>
          <w:szCs w:val="32"/>
          <w:highlight w:val="none"/>
          <w:lang w:val="en-US" w:eastAsia="zh-CN"/>
        </w:rPr>
        <w:t>1</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宋体" w:hAnsi="宋体" w:eastAsia="方正小标宋简体" w:cs="方正小标宋简体"/>
          <w:color w:val="auto"/>
          <w:sz w:val="36"/>
          <w:szCs w:val="36"/>
          <w:highlight w:val="none"/>
          <w:lang w:val="en-US" w:eastAsia="zh-CN"/>
        </w:rPr>
      </w:pPr>
      <w:r>
        <w:rPr>
          <w:rFonts w:hint="eastAsia" w:ascii="宋体" w:hAnsi="宋体" w:eastAsia="方正小标宋简体" w:cs="方正小标宋简体"/>
          <w:color w:val="auto"/>
          <w:sz w:val="36"/>
          <w:szCs w:val="36"/>
          <w:highlight w:val="none"/>
          <w:lang w:eastAsia="zh-CN"/>
        </w:rPr>
        <w:t>章贡区排水设施建设</w:t>
      </w:r>
      <w:r>
        <w:rPr>
          <w:rFonts w:hint="eastAsia" w:ascii="宋体" w:hAnsi="宋体" w:eastAsia="方正小标宋简体" w:cs="方正小标宋简体"/>
          <w:color w:val="auto"/>
          <w:sz w:val="36"/>
          <w:szCs w:val="36"/>
          <w:highlight w:val="none"/>
        </w:rPr>
        <w:t>2023年中央预算内投资计划表</w:t>
      </w: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 xml:space="preserve">                                                                   单位：万元</w:t>
      </w:r>
    </w:p>
    <w:tbl>
      <w:tblPr>
        <w:tblStyle w:val="5"/>
        <w:tblW w:w="14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069"/>
        <w:gridCol w:w="560"/>
        <w:gridCol w:w="1716"/>
        <w:gridCol w:w="1215"/>
        <w:gridCol w:w="1272"/>
        <w:gridCol w:w="1128"/>
        <w:gridCol w:w="905"/>
        <w:gridCol w:w="849"/>
        <w:gridCol w:w="1140"/>
        <w:gridCol w:w="866"/>
        <w:gridCol w:w="930"/>
        <w:gridCol w:w="90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jc w:val="center"/>
        </w:trPr>
        <w:tc>
          <w:tcPr>
            <w:tcW w:w="5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序号</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项目名称</w:t>
            </w:r>
          </w:p>
        </w:tc>
        <w:tc>
          <w:tcPr>
            <w:tcW w:w="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建设性质</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建设规模</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拟开工日期</w:t>
            </w: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拟竣工日期</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投资类别</w:t>
            </w:r>
          </w:p>
        </w:tc>
        <w:tc>
          <w:tcPr>
            <w:tcW w:w="9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总投资</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本次下达投资</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部门和地方采取的资金安排方式</w:t>
            </w: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项目单位</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项目负责人</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日常监管直接责任单位</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日常监管直接单位监管责任人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84" w:type="dxa"/>
          </w:tcPr>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w:t>
            </w:r>
          </w:p>
        </w:tc>
        <w:tc>
          <w:tcPr>
            <w:tcW w:w="1069" w:type="dxa"/>
          </w:tcPr>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lang w:eastAsia="zh-CN"/>
              </w:rPr>
              <w:t>章贡区青峰大道雨污分流改造工程</w:t>
            </w:r>
          </w:p>
        </w:tc>
        <w:tc>
          <w:tcPr>
            <w:tcW w:w="560" w:type="dxa"/>
          </w:tcPr>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新建</w:t>
            </w:r>
          </w:p>
        </w:tc>
        <w:tc>
          <w:tcPr>
            <w:tcW w:w="1716" w:type="dxa"/>
          </w:tcPr>
          <w:p>
            <w:pPr>
              <w:keepNext w:val="0"/>
              <w:keepLines w:val="0"/>
              <w:pageBreakBefore w:val="0"/>
              <w:widowControl w:val="0"/>
              <w:kinsoku/>
              <w:wordWrap/>
              <w:overflowPunct/>
              <w:topLinePunct w:val="0"/>
              <w:autoSpaceDE/>
              <w:autoSpaceDN/>
              <w:bidi w:val="0"/>
              <w:adjustRightInd/>
              <w:snapToGrid/>
              <w:spacing w:after="0" w:line="320" w:lineRule="exact"/>
              <w:jc w:val="both"/>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eastAsia="zh-CN"/>
              </w:rPr>
              <w:t>包含管沟槽开挖、回填、管道敷设，道路破除、修复及配套建设相应的污水井。项目改造道路</w:t>
            </w:r>
            <w:r>
              <w:rPr>
                <w:rFonts w:hint="eastAsia" w:ascii="宋体" w:hAnsi="宋体" w:eastAsia="宋体" w:cs="宋体"/>
                <w:color w:val="auto"/>
                <w:sz w:val="21"/>
                <w:szCs w:val="21"/>
                <w:highlight w:val="none"/>
                <w:vertAlign w:val="baseline"/>
                <w:lang w:val="en-US" w:eastAsia="zh-CN"/>
              </w:rPr>
              <w:t>7.1公里，道路破除及修复面积6410平方米等。</w:t>
            </w:r>
          </w:p>
        </w:tc>
        <w:tc>
          <w:tcPr>
            <w:tcW w:w="1215" w:type="dxa"/>
          </w:tcPr>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2023-7-31</w:t>
            </w:r>
          </w:p>
        </w:tc>
        <w:tc>
          <w:tcPr>
            <w:tcW w:w="1272" w:type="dxa"/>
          </w:tcPr>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2024-8-30</w:t>
            </w:r>
          </w:p>
        </w:tc>
        <w:tc>
          <w:tcPr>
            <w:tcW w:w="1128" w:type="dxa"/>
          </w:tcPr>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合计</w:t>
            </w:r>
          </w:p>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中央预算内投资</w:t>
            </w:r>
          </w:p>
          <w:p>
            <w:pPr>
              <w:pStyle w:val="2"/>
              <w:pageBreakBefore w:val="0"/>
              <w:widowControl w:val="0"/>
              <w:kinsoku/>
              <w:wordWrap/>
              <w:overflowPunct/>
              <w:topLinePunct w:val="0"/>
              <w:autoSpaceDE/>
              <w:autoSpaceDN/>
              <w:bidi w:val="0"/>
              <w:adjustRightInd/>
              <w:snapToGrid/>
              <w:spacing w:before="0" w:after="0" w:line="320" w:lineRule="exact"/>
              <w:ind w:left="0" w:leftChars="0" w:firstLine="0" w:firstLineChars="0"/>
              <w:jc w:val="center"/>
              <w:textAlignment w:val="auto"/>
              <w:rPr>
                <w:rFonts w:hint="eastAsia" w:ascii="宋体" w:hAnsi="宋体" w:eastAsia="宋体" w:cs="宋体"/>
                <w:color w:val="auto"/>
                <w:sz w:val="21"/>
                <w:szCs w:val="21"/>
                <w:highlight w:val="none"/>
                <w:lang w:eastAsia="zh-CN"/>
              </w:rPr>
            </w:pP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其他投资</w:t>
            </w:r>
          </w:p>
        </w:tc>
        <w:tc>
          <w:tcPr>
            <w:tcW w:w="905" w:type="dxa"/>
          </w:tcPr>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7839</w:t>
            </w:r>
          </w:p>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3020</w:t>
            </w:r>
          </w:p>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4819</w:t>
            </w:r>
          </w:p>
        </w:tc>
        <w:tc>
          <w:tcPr>
            <w:tcW w:w="849" w:type="dxa"/>
          </w:tcPr>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3020</w:t>
            </w:r>
          </w:p>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3020</w:t>
            </w:r>
          </w:p>
        </w:tc>
        <w:tc>
          <w:tcPr>
            <w:tcW w:w="1140" w:type="dxa"/>
          </w:tcPr>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直接投资</w:t>
            </w:r>
          </w:p>
        </w:tc>
        <w:tc>
          <w:tcPr>
            <w:tcW w:w="866" w:type="dxa"/>
          </w:tcPr>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赣州创新投资发展有限公司</w:t>
            </w:r>
          </w:p>
        </w:tc>
        <w:tc>
          <w:tcPr>
            <w:tcW w:w="930" w:type="dxa"/>
          </w:tcPr>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李刚</w:t>
            </w:r>
          </w:p>
        </w:tc>
        <w:tc>
          <w:tcPr>
            <w:tcW w:w="900" w:type="dxa"/>
          </w:tcPr>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江西章贡高新技术产业园区管理委员会</w:t>
            </w:r>
          </w:p>
        </w:tc>
        <w:tc>
          <w:tcPr>
            <w:tcW w:w="1116" w:type="dxa"/>
          </w:tcPr>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张洪斌</w:t>
            </w:r>
          </w:p>
        </w:tc>
      </w:tr>
    </w:tbl>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宋体" w:hAnsi="宋体"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黑体" w:cs="黑体"/>
          <w:color w:val="auto"/>
          <w:sz w:val="32"/>
          <w:szCs w:val="32"/>
          <w:highlight w:val="none"/>
          <w:lang w:val="en-US" w:eastAsia="zh-CN"/>
        </w:rPr>
        <w:sectPr>
          <w:pgSz w:w="16838" w:h="11906" w:orient="landscape"/>
          <w:pgMar w:top="1587" w:right="2098" w:bottom="1587" w:left="2098" w:header="851" w:footer="992" w:gutter="0"/>
          <w:cols w:space="0" w:num="1"/>
          <w:rtlGutter w:val="0"/>
          <w:docGrid w:type="lines" w:linePitch="323" w:charSpace="0"/>
        </w:sectPr>
      </w:pPr>
    </w:p>
    <w:p>
      <w:pPr>
        <w:keepNext w:val="0"/>
        <w:keepLines w:val="0"/>
        <w:pageBreakBefore w:val="0"/>
        <w:widowControl w:val="0"/>
        <w:kinsoku/>
        <w:wordWrap/>
        <w:overflowPunct/>
        <w:topLinePunct w:val="0"/>
        <w:autoSpaceDE/>
        <w:autoSpaceDN/>
        <w:bidi w:val="0"/>
        <w:adjustRightInd/>
        <w:snapToGrid/>
        <w:spacing w:after="163" w:afterLines="50" w:line="600" w:lineRule="exact"/>
        <w:ind w:firstLine="0" w:firstLineChars="0"/>
        <w:textAlignment w:val="auto"/>
        <w:rPr>
          <w:rFonts w:hint="eastAsia" w:ascii="宋体" w:hAnsi="宋体" w:eastAsia="黑体" w:cs="黑体"/>
          <w:color w:val="auto"/>
          <w:sz w:val="32"/>
          <w:szCs w:val="32"/>
          <w:highlight w:val="none"/>
          <w:lang w:val="en-US" w:eastAsia="zh-CN"/>
        </w:rPr>
      </w:pPr>
      <w:r>
        <w:rPr>
          <w:rFonts w:hint="eastAsia" w:ascii="宋体" w:hAnsi="宋体" w:eastAsia="黑体" w:cs="黑体"/>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after="163" w:afterLines="50" w:line="600" w:lineRule="exact"/>
        <w:jc w:val="center"/>
        <w:textAlignment w:val="auto"/>
        <w:rPr>
          <w:rFonts w:hint="eastAsia" w:ascii="宋体" w:hAnsi="宋体"/>
        </w:rPr>
      </w:pPr>
      <w:r>
        <w:rPr>
          <w:rFonts w:hint="eastAsia" w:ascii="宋体" w:hAnsi="宋体" w:eastAsia="方正小标宋简体" w:cs="方正小标宋简体"/>
          <w:color w:val="auto"/>
          <w:sz w:val="44"/>
          <w:szCs w:val="44"/>
          <w:highlight w:val="none"/>
          <w:lang w:eastAsia="zh-CN"/>
        </w:rPr>
        <w:t>章贡区排水设施建设专项</w:t>
      </w:r>
      <w:r>
        <w:rPr>
          <w:rFonts w:hint="eastAsia" w:ascii="宋体" w:hAnsi="宋体" w:eastAsia="方正小标宋简体" w:cs="方正小标宋简体"/>
          <w:color w:val="auto"/>
          <w:sz w:val="44"/>
          <w:szCs w:val="44"/>
          <w:highlight w:val="none"/>
        </w:rPr>
        <w:t>2023年中央预算内投资计划绩效目标表</w:t>
      </w:r>
    </w:p>
    <w:p>
      <w:pPr>
        <w:keepNext w:val="0"/>
        <w:keepLines w:val="0"/>
        <w:pageBreakBefore w:val="0"/>
        <w:widowControl w:val="0"/>
        <w:kinsoku/>
        <w:wordWrap/>
        <w:overflowPunct/>
        <w:topLinePunct w:val="0"/>
        <w:autoSpaceDE/>
        <w:autoSpaceDN/>
        <w:bidi w:val="0"/>
        <w:adjustRightInd/>
        <w:snapToGrid/>
        <w:spacing w:after="0" w:line="480" w:lineRule="exact"/>
        <w:jc w:val="center"/>
        <w:textAlignment w:val="auto"/>
        <w:rPr>
          <w:rFonts w:hint="eastAsia" w:ascii="宋体" w:hAnsi="宋体" w:eastAsia="楷体_GB2312" w:cs="楷体_GB2312"/>
          <w:color w:val="auto"/>
          <w:sz w:val="32"/>
          <w:szCs w:val="32"/>
          <w:highlight w:val="none"/>
          <w:lang w:eastAsia="zh-CN"/>
        </w:rPr>
      </w:pPr>
      <w:r>
        <w:rPr>
          <w:rFonts w:hint="eastAsia" w:ascii="宋体" w:hAnsi="宋体" w:eastAsia="楷体_GB2312" w:cs="楷体_GB2312"/>
          <w:color w:val="auto"/>
          <w:sz w:val="32"/>
          <w:szCs w:val="32"/>
          <w:highlight w:val="none"/>
          <w:lang w:eastAsia="zh-CN"/>
        </w:rPr>
        <w:t>（</w:t>
      </w:r>
      <w:r>
        <w:rPr>
          <w:rFonts w:hint="eastAsia" w:ascii="宋体" w:hAnsi="宋体" w:eastAsia="楷体_GB2312" w:cs="楷体_GB2312"/>
          <w:color w:val="auto"/>
          <w:sz w:val="32"/>
          <w:szCs w:val="32"/>
          <w:highlight w:val="none"/>
          <w:lang w:val="en-US" w:eastAsia="zh-CN"/>
        </w:rPr>
        <w:t>2023年度</w:t>
      </w:r>
      <w:r>
        <w:rPr>
          <w:rFonts w:hint="eastAsia" w:ascii="宋体" w:hAnsi="宋体" w:eastAsia="楷体_GB2312" w:cs="楷体_GB2312"/>
          <w:color w:val="auto"/>
          <w:sz w:val="32"/>
          <w:szCs w:val="32"/>
          <w:highlight w:val="none"/>
          <w:lang w:eastAsia="zh-CN"/>
        </w:rPr>
        <w:t>）</w:t>
      </w:r>
    </w:p>
    <w:tbl>
      <w:tblPr>
        <w:tblStyle w:val="5"/>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9"/>
        <w:gridCol w:w="1385"/>
        <w:gridCol w:w="1705"/>
        <w:gridCol w:w="280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9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专项名称</w:t>
            </w:r>
          </w:p>
        </w:tc>
        <w:tc>
          <w:tcPr>
            <w:tcW w:w="602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城市燃气管道等老化更新改造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9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下达地方或单位</w:t>
            </w:r>
          </w:p>
        </w:tc>
        <w:tc>
          <w:tcPr>
            <w:tcW w:w="602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赣州创新投资发展有限公司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9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本次下达中央预算内投资（万元）</w:t>
            </w:r>
          </w:p>
        </w:tc>
        <w:tc>
          <w:tcPr>
            <w:tcW w:w="602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5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总体目标</w:t>
            </w:r>
          </w:p>
        </w:tc>
        <w:tc>
          <w:tcPr>
            <w:tcW w:w="741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支持城市排水设施建设。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3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绩效指标</w:t>
            </w:r>
          </w:p>
        </w:tc>
        <w:tc>
          <w:tcPr>
            <w:tcW w:w="13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一级指标</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二级指标</w:t>
            </w: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三级指标</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138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实施效果指标</w:t>
            </w:r>
          </w:p>
        </w:tc>
        <w:tc>
          <w:tcPr>
            <w:tcW w:w="170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产出指标</w:t>
            </w: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支持排水防涝补短板的县城</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53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170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下达中央预算内投资</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3020万元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3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效益指标</w:t>
            </w: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社会效益</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排涝水平显著提高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3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138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过程管理指标</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计划管理指标</w:t>
            </w: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“两个责任”按项目落实到位率</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53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170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资金管理指标</w:t>
            </w: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中央预算内投资支付率</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3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170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年度计划投资完成率</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53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170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项目管理指标</w:t>
            </w: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项目开工率</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53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170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超规模、超标准、超概算项目比例</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53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监督检查指标</w:t>
            </w: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审计、监督、巡视等支出问题项目比例</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仿宋_GB2312" w:cs="仿宋_GB2312"/>
          <w:color w:val="auto"/>
          <w:sz w:val="32"/>
          <w:szCs w:val="32"/>
          <w:highlight w:val="none"/>
          <w:lang w:val="en-US" w:eastAsia="zh-CN"/>
        </w:rPr>
      </w:pPr>
    </w:p>
    <w:sectPr>
      <w:pgSz w:w="11906" w:h="16838"/>
      <w:pgMar w:top="2098" w:right="1587" w:bottom="2098" w:left="1587" w:header="851" w:footer="992" w:gutter="0"/>
      <w:cols w:space="0" w:num="1"/>
      <w:rtlGutter w:val="0"/>
      <w:docGrid w:type="lines" w:linePitch="32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altName w:val="Segoe Print"/>
    <w:panose1 w:val="02040503050406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2NmEwZGJhYWNkZTM2ZTJiYzc2YTFlMWU1ZTM3ZTgifQ=="/>
  </w:docVars>
  <w:rsids>
    <w:rsidRoot w:val="2590360E"/>
    <w:rsid w:val="0DC74C93"/>
    <w:rsid w:val="12951598"/>
    <w:rsid w:val="1407401D"/>
    <w:rsid w:val="15B73F90"/>
    <w:rsid w:val="20843C35"/>
    <w:rsid w:val="21B262C7"/>
    <w:rsid w:val="2590360E"/>
    <w:rsid w:val="26857C70"/>
    <w:rsid w:val="28041684"/>
    <w:rsid w:val="29980C52"/>
    <w:rsid w:val="353426DE"/>
    <w:rsid w:val="37D731A4"/>
    <w:rsid w:val="3E480BCB"/>
    <w:rsid w:val="41746DC2"/>
    <w:rsid w:val="496B2C2B"/>
    <w:rsid w:val="4E0F7D8F"/>
    <w:rsid w:val="4FAD468E"/>
    <w:rsid w:val="56052390"/>
    <w:rsid w:val="56E72AF1"/>
    <w:rsid w:val="58C52233"/>
    <w:rsid w:val="62D36B7D"/>
    <w:rsid w:val="6C883427"/>
    <w:rsid w:val="76596576"/>
    <w:rsid w:val="77F16926"/>
    <w:rsid w:val="7A04606B"/>
    <w:rsid w:val="7CDC2717"/>
    <w:rsid w:val="7EB04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4"/>
    <w:basedOn w:val="1"/>
    <w:next w:val="1"/>
    <w:qFormat/>
    <w:uiPriority w:val="0"/>
    <w:pPr>
      <w:keepNext/>
      <w:keepLines/>
      <w:spacing w:before="60" w:after="60" w:line="312" w:lineRule="auto"/>
      <w:ind w:firstLine="880"/>
      <w:outlineLvl w:val="3"/>
    </w:pPr>
    <w:rPr>
      <w:rFonts w:ascii="Cambria" w:hAnsi="Cambria" w:eastAsia="宋体" w:cs="Times New Roman"/>
      <w:b/>
      <w:bCs/>
      <w:sz w:val="28"/>
      <w:szCs w:val="2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3"/>
    <w:basedOn w:val="1"/>
    <w:qFormat/>
    <w:uiPriority w:val="0"/>
    <w:pPr>
      <w:ind w:firstLine="703" w:firstLineChars="250"/>
    </w:pPr>
    <w:rPr>
      <w:rFonts w:hint="eastAsia"/>
      <w:b/>
      <w:sz w:val="28"/>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1786</Words>
  <Characters>1888</Characters>
  <Lines>0</Lines>
  <Paragraphs>0</Paragraphs>
  <TotalTime>8</TotalTime>
  <ScaleCrop>false</ScaleCrop>
  <LinksUpToDate>false</LinksUpToDate>
  <CharactersWithSpaces>2029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2023-06-12T01:25:00Z</dcterms:created>
  <dc:creator>Administrator</dc:creator>
  <cp:lastModifiedBy>伶俐</cp:lastModifiedBy>
  <cp:lastPrinted>2023-07-19T02:22:00Z</cp:lastPrinted>
  <dcterms:modified xsi:type="dcterms:W3CDTF">2023-07-27T08:26:14Z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91BD893892D64725A3626731A969ED92_13</vt:lpwstr>
  </property>
</Properties>
</file>