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75" w:lineRule="atLeast"/>
        <w:ind w:left="0" w:firstLine="0"/>
        <w:jc w:val="center"/>
        <w:rPr>
          <w:rFonts w:hint="eastAsia" w:ascii="方正小标宋简体" w:hAnsi="方正小标宋简体" w:eastAsia="方正小标宋简体" w:cs="方正小标宋简体"/>
          <w:b w:val="0"/>
          <w:bCs/>
          <w:i w:val="0"/>
          <w:caps w:val="0"/>
          <w:color w:val="000000"/>
          <w:spacing w:val="0"/>
          <w:kern w:val="0"/>
          <w:sz w:val="44"/>
          <w:szCs w:val="44"/>
          <w:lang w:val="en-US" w:eastAsia="zh-CN" w:bidi="ar"/>
        </w:rPr>
      </w:pPr>
      <w:bookmarkStart w:id="0" w:name="_GoBack"/>
      <w:bookmarkEnd w:id="0"/>
      <w:r>
        <w:rPr>
          <w:rFonts w:hint="eastAsia" w:ascii="方正小标宋简体" w:hAnsi="方正小标宋简体" w:eastAsia="方正小标宋简体" w:cs="方正小标宋简体"/>
          <w:b w:val="0"/>
          <w:bCs/>
          <w:i w:val="0"/>
          <w:caps w:val="0"/>
          <w:color w:val="000000"/>
          <w:spacing w:val="0"/>
          <w:kern w:val="0"/>
          <w:sz w:val="44"/>
          <w:szCs w:val="44"/>
          <w:lang w:val="en-US" w:eastAsia="zh-CN" w:bidi="ar"/>
        </w:rPr>
        <w:t>章贡区审计局行政执法事项清单</w:t>
      </w:r>
    </w:p>
    <w:p>
      <w:pPr>
        <w:keepNext w:val="0"/>
        <w:keepLines w:val="0"/>
        <w:widowControl/>
        <w:suppressLineNumbers w:val="0"/>
        <w:spacing w:line="390" w:lineRule="atLeast"/>
        <w:jc w:val="left"/>
        <w:rPr>
          <w:rFonts w:hint="eastAsia" w:ascii="微软雅黑" w:hAnsi="微软雅黑" w:eastAsia="微软雅黑" w:cs="微软雅黑"/>
          <w:b/>
          <w:i w:val="0"/>
          <w:caps w:val="0"/>
          <w:color w:val="000000"/>
          <w:spacing w:val="0"/>
          <w:kern w:val="0"/>
          <w:sz w:val="36"/>
          <w:szCs w:val="36"/>
          <w:lang w:val="en-US" w:eastAsia="zh-CN" w:bidi="ar"/>
        </w:rPr>
      </w:pPr>
    </w:p>
    <w:p>
      <w:pPr>
        <w:rPr>
          <w:vanish/>
          <w:sz w:val="24"/>
          <w:szCs w:val="24"/>
        </w:rPr>
      </w:pPr>
    </w:p>
    <w:p>
      <w:pPr>
        <w:rPr>
          <w:vanish/>
          <w:sz w:val="24"/>
          <w:szCs w:val="24"/>
        </w:rPr>
      </w:pPr>
    </w:p>
    <w:p>
      <w:pPr>
        <w:rPr>
          <w:vanish/>
          <w:sz w:val="24"/>
          <w:szCs w:val="24"/>
        </w:rPr>
      </w:pPr>
    </w:p>
    <w:tbl>
      <w:tblPr>
        <w:tblStyle w:val="2"/>
        <w:tblW w:w="5143" w:type="pct"/>
        <w:tblInd w:w="0" w:type="dxa"/>
        <w:shd w:val="clear" w:color="auto" w:fill="auto"/>
        <w:tblLayout w:type="autofit"/>
        <w:tblCellMar>
          <w:top w:w="0" w:type="dxa"/>
          <w:left w:w="0" w:type="dxa"/>
          <w:bottom w:w="0" w:type="dxa"/>
          <w:right w:w="0" w:type="dxa"/>
        </w:tblCellMar>
      </w:tblPr>
      <w:tblGrid>
        <w:gridCol w:w="1993"/>
        <w:gridCol w:w="1156"/>
        <w:gridCol w:w="1467"/>
        <w:gridCol w:w="6066"/>
        <w:gridCol w:w="3239"/>
        <w:gridCol w:w="452"/>
      </w:tblGrid>
      <w:tr>
        <w:tblPrEx>
          <w:shd w:val="clear" w:color="auto" w:fill="auto"/>
          <w:tblCellMar>
            <w:top w:w="0" w:type="dxa"/>
            <w:left w:w="0" w:type="dxa"/>
            <w:bottom w:w="0" w:type="dxa"/>
            <w:right w:w="0" w:type="dxa"/>
          </w:tblCellMar>
        </w:tblPrEx>
        <w:trPr>
          <w:cantSplit/>
          <w:trHeight w:val="453"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Style w:val="4"/>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Style w:val="4"/>
                <w:rFonts w:hint="eastAsia" w:ascii="仿宋_GB2312" w:hAnsi="仿宋_GB2312" w:eastAsia="仿宋_GB2312" w:cs="仿宋_GB2312"/>
                <w:color w:val="000000"/>
                <w:kern w:val="0"/>
                <w:sz w:val="24"/>
                <w:szCs w:val="24"/>
                <w:lang w:val="en-US" w:eastAsia="zh-CN" w:bidi="ar"/>
              </w:rPr>
              <w:t>项目名称</w:t>
            </w:r>
          </w:p>
        </w:tc>
        <w:tc>
          <w:tcPr>
            <w:tcW w:w="402" w:type="pct"/>
            <w:vMerge w:val="restart"/>
            <w:tcBorders>
              <w:top w:val="single" w:color="auto" w:sz="8" w:space="0"/>
              <w:left w:val="single" w:color="auto" w:sz="4"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Style w:val="4"/>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Style w:val="4"/>
                <w:rFonts w:hint="eastAsia" w:ascii="仿宋_GB2312" w:hAnsi="仿宋_GB2312" w:eastAsia="仿宋_GB2312" w:cs="仿宋_GB2312"/>
                <w:color w:val="000000"/>
                <w:kern w:val="0"/>
                <w:sz w:val="24"/>
                <w:szCs w:val="24"/>
                <w:lang w:val="en-US" w:eastAsia="zh-CN" w:bidi="ar"/>
              </w:rPr>
              <w:t>行政权力</w:t>
            </w:r>
            <w:r>
              <w:rPr>
                <w:rStyle w:val="4"/>
                <w:rFonts w:hint="eastAsia" w:ascii="仿宋_GB2312" w:hAnsi="仿宋_GB2312" w:eastAsia="仿宋_GB2312" w:cs="仿宋_GB2312"/>
                <w:color w:val="000000"/>
                <w:kern w:val="0"/>
                <w:sz w:val="24"/>
                <w:szCs w:val="24"/>
                <w:lang w:val="en-US" w:eastAsia="zh-CN" w:bidi="ar"/>
              </w:rPr>
              <w:br w:type="textWrapping"/>
            </w:r>
            <w:r>
              <w:rPr>
                <w:rStyle w:val="4"/>
                <w:rFonts w:hint="eastAsia" w:ascii="仿宋_GB2312" w:hAnsi="仿宋_GB2312" w:eastAsia="仿宋_GB2312" w:cs="仿宋_GB2312"/>
                <w:color w:val="000000"/>
                <w:kern w:val="0"/>
                <w:sz w:val="24"/>
                <w:szCs w:val="24"/>
                <w:lang w:val="en-US" w:eastAsia="zh-CN" w:bidi="ar"/>
              </w:rPr>
              <w:t>类别</w:t>
            </w:r>
          </w:p>
        </w:tc>
        <w:tc>
          <w:tcPr>
            <w:tcW w:w="510" w:type="pct"/>
            <w:vMerge w:val="restart"/>
            <w:tcBorders>
              <w:top w:val="single" w:color="auto" w:sz="8" w:space="0"/>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Style w:val="4"/>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Style w:val="4"/>
                <w:rFonts w:hint="eastAsia" w:ascii="仿宋_GB2312" w:hAnsi="仿宋_GB2312" w:eastAsia="仿宋_GB2312" w:cs="仿宋_GB2312"/>
                <w:color w:val="000000"/>
                <w:kern w:val="0"/>
                <w:sz w:val="24"/>
                <w:szCs w:val="24"/>
                <w:lang w:val="en-US" w:eastAsia="zh-CN" w:bidi="ar"/>
              </w:rPr>
              <w:t>执法主体</w:t>
            </w:r>
          </w:p>
        </w:tc>
        <w:tc>
          <w:tcPr>
            <w:tcW w:w="2109" w:type="pct"/>
            <w:vMerge w:val="restart"/>
            <w:tcBorders>
              <w:top w:val="single" w:color="auto" w:sz="8" w:space="0"/>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Style w:val="4"/>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Style w:val="4"/>
                <w:rFonts w:hint="eastAsia" w:ascii="仿宋_GB2312" w:hAnsi="仿宋_GB2312" w:eastAsia="仿宋_GB2312" w:cs="仿宋_GB2312"/>
                <w:color w:val="000000"/>
                <w:kern w:val="0"/>
                <w:sz w:val="24"/>
                <w:szCs w:val="24"/>
                <w:lang w:val="en-US" w:eastAsia="zh-CN" w:bidi="ar"/>
              </w:rPr>
              <w:t>实施依据</w:t>
            </w:r>
          </w:p>
        </w:tc>
        <w:tc>
          <w:tcPr>
            <w:tcW w:w="1126" w:type="pct"/>
            <w:vMerge w:val="restart"/>
            <w:tcBorders>
              <w:top w:val="single" w:color="auto" w:sz="8" w:space="0"/>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Style w:val="4"/>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Style w:val="4"/>
                <w:rFonts w:hint="eastAsia" w:ascii="仿宋_GB2312" w:hAnsi="仿宋_GB2312" w:eastAsia="仿宋_GB2312" w:cs="仿宋_GB2312"/>
                <w:color w:val="000000"/>
                <w:kern w:val="0"/>
                <w:sz w:val="24"/>
                <w:szCs w:val="24"/>
                <w:lang w:val="en-US" w:eastAsia="zh-CN" w:bidi="ar"/>
              </w:rPr>
              <w:t>实施对象</w:t>
            </w:r>
          </w:p>
        </w:tc>
        <w:tc>
          <w:tcPr>
            <w:tcW w:w="157" w:type="pct"/>
            <w:tcBorders>
              <w:top w:val="single" w:color="auto" w:sz="8" w:space="0"/>
              <w:left w:val="single" w:color="auto" w:sz="4" w:space="0"/>
              <w:bottom w:val="single" w:color="000000" w:sz="8"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Style w:val="4"/>
                <w:rFonts w:hint="eastAsia" w:ascii="仿宋_GB2312" w:hAnsi="仿宋_GB2312" w:eastAsia="仿宋_GB2312" w:cs="仿宋_GB2312"/>
                <w:color w:val="000000"/>
                <w:kern w:val="0"/>
                <w:sz w:val="24"/>
                <w:szCs w:val="24"/>
                <w:lang w:val="en-US" w:eastAsia="zh-CN" w:bidi="ar"/>
              </w:rPr>
              <w:t>备注</w:t>
            </w:r>
          </w:p>
        </w:tc>
      </w:tr>
      <w:tr>
        <w:tblPrEx>
          <w:tblCellMar>
            <w:top w:w="0" w:type="dxa"/>
            <w:left w:w="0" w:type="dxa"/>
            <w:bottom w:w="0" w:type="dxa"/>
            <w:right w:w="0" w:type="dxa"/>
          </w:tblCellMar>
        </w:tblPrEx>
        <w:trPr>
          <w:cantSplit/>
          <w:trHeight w:val="90"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single" w:color="auto" w:sz="8" w:space="0"/>
              <w:left w:val="single" w:color="auto" w:sz="4" w:space="0"/>
              <w:bottom w:val="single" w:color="000000" w:sz="8" w:space="0"/>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single" w:color="auto" w:sz="8" w:space="0"/>
              <w:left w:val="nil"/>
              <w:bottom w:val="single" w:color="000000" w:sz="8" w:space="0"/>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single" w:color="auto" w:sz="8" w:space="0"/>
              <w:left w:val="nil"/>
              <w:bottom w:val="single" w:color="000000" w:sz="8" w:space="0"/>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single" w:color="auto" w:sz="8" w:space="0"/>
              <w:left w:val="nil"/>
              <w:bottom w:val="single" w:color="000000" w:sz="8" w:space="0"/>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tcBorders>
              <w:top w:val="single" w:color="auto" w:sz="8" w:space="0"/>
              <w:left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23" w:hRule="atLeast"/>
        </w:trPr>
        <w:tc>
          <w:tcPr>
            <w:tcW w:w="69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财政违法行为的处理处罚</w:t>
            </w:r>
          </w:p>
        </w:tc>
        <w:tc>
          <w:tcPr>
            <w:tcW w:w="402" w:type="pc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行政处罚</w:t>
            </w:r>
          </w:p>
        </w:tc>
        <w:tc>
          <w:tcPr>
            <w:tcW w:w="510"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《中华人民共和国审计法》第45条、《中华人民共和国审计法实施条例》第48条、《财政违法行为处罚处分条例》3、4、5、6、7、8、9、10、11、12、13、14、15、16、17、18、19条</w:t>
            </w:r>
          </w:p>
        </w:tc>
        <w:tc>
          <w:tcPr>
            <w:tcW w:w="1126"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本级各部门、乡镇人民政府、国有企业事业组织、社会团体以及应当接受审计机关审计监督的其他单位和个人</w:t>
            </w:r>
          </w:p>
        </w:tc>
        <w:tc>
          <w:tcPr>
            <w:tcW w:w="157" w:type="pct"/>
            <w:tcBorders>
              <w:top w:val="nil"/>
              <w:left w:val="nil"/>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23" w:hRule="atLeast"/>
        </w:trPr>
        <w:tc>
          <w:tcPr>
            <w:tcW w:w="69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违反财务收支行为的处理处罚</w:t>
            </w:r>
          </w:p>
        </w:tc>
        <w:tc>
          <w:tcPr>
            <w:tcW w:w="402" w:type="pc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行政处罚</w:t>
            </w:r>
          </w:p>
        </w:tc>
        <w:tc>
          <w:tcPr>
            <w:tcW w:w="510"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《中华人民共和国审计法》第46条、《中华人民共和国审计法实施条例》第49条、《建设项目审计处理暂行规定》（（1996）审投发第105号）第5-18条；《河北省国家建设项目审计条例》第31条</w:t>
            </w:r>
          </w:p>
        </w:tc>
        <w:tc>
          <w:tcPr>
            <w:tcW w:w="1126"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国有企业事业组织以及应当接受审计机关审计监督的其他单位或个人</w:t>
            </w:r>
          </w:p>
        </w:tc>
        <w:tc>
          <w:tcPr>
            <w:tcW w:w="157" w:type="pct"/>
            <w:tcBorders>
              <w:top w:val="nil"/>
              <w:left w:val="nil"/>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23" w:hRule="atLeast"/>
        </w:trPr>
        <w:tc>
          <w:tcPr>
            <w:tcW w:w="69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被审计单位未按规定提供与审计事项有关的资料或拒绝、阻碍检查的处理处罚</w:t>
            </w:r>
          </w:p>
        </w:tc>
        <w:tc>
          <w:tcPr>
            <w:tcW w:w="402" w:type="pc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行政处罚</w:t>
            </w:r>
          </w:p>
        </w:tc>
        <w:tc>
          <w:tcPr>
            <w:tcW w:w="510"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《中华人民共和国审计法》第43条、《中华人民共和国审计法实施条例》第47条、《河北省国家建设项目审计条例》第30条</w:t>
            </w:r>
          </w:p>
        </w:tc>
        <w:tc>
          <w:tcPr>
            <w:tcW w:w="1126"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本级各部门、乡镇人民政府、国有企业事业组织以及应当接受审计机关审计监督的其他单位</w:t>
            </w:r>
          </w:p>
        </w:tc>
        <w:tc>
          <w:tcPr>
            <w:tcW w:w="157" w:type="pct"/>
            <w:tcBorders>
              <w:top w:val="nil"/>
              <w:left w:val="nil"/>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对被审计单位的账册、资料和违反国家规定取得的资产的封存权</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行政强制</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《中华人民共和国审计法》第34条、《中华人民共和国审计法实施条例》第32条；《财政违法行为处罚处分条例》第二十三条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本级各部门、乡镇人民政府、国有企业事业组织以及应当接受审计机关审计监督的其他单位</w:t>
            </w:r>
          </w:p>
        </w:tc>
        <w:tc>
          <w:tcPr>
            <w:tcW w:w="157" w:type="pct"/>
            <w:vMerge w:val="restart"/>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23" w:hRule="atLeast"/>
        </w:trPr>
        <w:tc>
          <w:tcPr>
            <w:tcW w:w="69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通知财政部门和有关部门暂停拨付款项权</w:t>
            </w:r>
          </w:p>
        </w:tc>
        <w:tc>
          <w:tcPr>
            <w:tcW w:w="402" w:type="pc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行政强制</w:t>
            </w:r>
          </w:p>
        </w:tc>
        <w:tc>
          <w:tcPr>
            <w:tcW w:w="510"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《中华人民共和国审计法》第34条</w:t>
            </w:r>
          </w:p>
        </w:tc>
        <w:tc>
          <w:tcPr>
            <w:tcW w:w="1126"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本级各部门、乡镇人民政府、国有企业事业组织以及应当接受审计机关审计监督的其他单位</w:t>
            </w:r>
          </w:p>
        </w:tc>
        <w:tc>
          <w:tcPr>
            <w:tcW w:w="157" w:type="pct"/>
            <w:tcBorders>
              <w:top w:val="nil"/>
              <w:left w:val="nil"/>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财政收支审计监督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《中华人民共和国宪法》第91、109条；《中华人民共和国审计法》第16、17条；《中华人民共和国审计法实施条例》第15、16、17条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本级各部门、乡镇人民政府、本级预算执行单位和其他取得财政资金的单位和项目以及应当接受审计机关审计监督的其他单位</w:t>
            </w:r>
          </w:p>
        </w:tc>
        <w:tc>
          <w:tcPr>
            <w:tcW w:w="157" w:type="pct"/>
            <w:vMerge w:val="restart"/>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事业单位和其他事业组织的审计监督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《中华人民共和国宪法》第91、109条：《中华人民共和国审计法》第19条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国家的事业组织和用财政资金的其他事业组织</w:t>
            </w:r>
          </w:p>
        </w:tc>
        <w:tc>
          <w:tcPr>
            <w:tcW w:w="157" w:type="pct"/>
            <w:vMerge w:val="restart"/>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对企业的审计监督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《中华人民共和国宪法》第91、109条；《中华人民共和国审计法》第20条；《中华人民共和国审计法实施条例》第19条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国有企业</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政府投资建设项目审计监督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109条；《中华人民共和国审计法》第22条；《中华人民共和国审计法实施条例》第20条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政府投资和以政府投资为主的建设项目</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社会保障资金审计监督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《中华人民共和国宪法》第91、109条；《中华人民共和国审计法》第23条；《中华人民共和国审计法实施条例》第21条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政府部门管理的和其他单位受政府委托管理的社会保障基金、社会捐赠资金以及其他有关基金、资金</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其他法律、行政法规规定应当由审计机关进行审计的事项的审计监督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《中华人民共和国宪法》第91、109条；《中华人民共和国审计法》第26条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其他法律、行政法规规定应当由审计机关进行审计的事项</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专项审计调查</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《中华人民共和国宪法》第91、109条；《中华人民共和国审计法》第27条；《中华人民共和国审计法实施条例》第23条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与国家财政收支有关的特定事项</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23" w:hRule="atLeast"/>
        </w:trPr>
        <w:tc>
          <w:tcPr>
            <w:tcW w:w="69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内部审计工作业务监督</w:t>
            </w:r>
          </w:p>
        </w:tc>
        <w:tc>
          <w:tcPr>
            <w:tcW w:w="402" w:type="pc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《中华人民共和国宪法》第91、109条；《中华人民共和国审计法》第29条；《中华人民共和国审计法实施条例》第26条</w:t>
            </w:r>
          </w:p>
        </w:tc>
        <w:tc>
          <w:tcPr>
            <w:tcW w:w="1126"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依法属于审计机关审计监督对象的内部审计工作单位</w:t>
            </w:r>
          </w:p>
        </w:tc>
        <w:tc>
          <w:tcPr>
            <w:tcW w:w="157" w:type="pct"/>
            <w:tcBorders>
              <w:top w:val="nil"/>
              <w:left w:val="nil"/>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社会审计机构审计报告的核查</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《中华人民共和国宪法》第91、109条；《中华人民共和国审计法》第30条；《中华人民共和国审计法实施条例》第27条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社会审计机构</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经济责任审计监督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《中华人民共和国审计法》第25条、《党政主要领导干部和国有企业领导人员经济责任审计规定》（中办发〔2010〕32号、《党政主要领导干部和国有企业领导人员经济责任审计规定实施细则》</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本级各部门、乡镇人民政府、国有企业事业组织以及应当接受审计机关审计监督的其他单位</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获得审计资料以及取证权</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其他类</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《中华人民共和国审计法》第31、32、33条；《中华人民共和国审计法实施条例》第28、29、30条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与审计事项相关的单位和个人</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23" w:hRule="atLeast"/>
        </w:trPr>
        <w:tc>
          <w:tcPr>
            <w:tcW w:w="69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提请相关部门协助审计权</w:t>
            </w:r>
          </w:p>
        </w:tc>
        <w:tc>
          <w:tcPr>
            <w:tcW w:w="402" w:type="pct"/>
            <w:tcBorders>
              <w:top w:val="nil"/>
              <w:left w:val="single" w:color="auto" w:sz="4" w:space="0"/>
              <w:bottom w:val="single" w:color="auto" w:sz="8"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其他类</w:t>
            </w:r>
          </w:p>
        </w:tc>
        <w:tc>
          <w:tcPr>
            <w:tcW w:w="510" w:type="pct"/>
            <w:tcBorders>
              <w:top w:val="nil"/>
              <w:left w:val="nil"/>
              <w:bottom w:val="single" w:color="auto" w:sz="8"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tcBorders>
              <w:top w:val="nil"/>
              <w:left w:val="nil"/>
              <w:bottom w:val="single" w:color="auto" w:sz="8"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《中华人民共和国审计法》第37条</w:t>
            </w:r>
          </w:p>
        </w:tc>
        <w:tc>
          <w:tcPr>
            <w:tcW w:w="1126" w:type="pct"/>
            <w:tcBorders>
              <w:top w:val="nil"/>
              <w:left w:val="nil"/>
              <w:bottom w:val="single" w:color="auto" w:sz="8"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公安、监察、财政、税务、价格、工商行政管理等机关</w:t>
            </w:r>
          </w:p>
        </w:tc>
        <w:tc>
          <w:tcPr>
            <w:tcW w:w="1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bl>
    <w:p>
      <w:pPr>
        <w:keepNext w:val="0"/>
        <w:keepLines w:val="0"/>
        <w:pageBreakBefore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15"/>
          <w:szCs w:val="15"/>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E290E"/>
    <w:rsid w:val="06AE290E"/>
    <w:rsid w:val="0E576DC2"/>
    <w:rsid w:val="75C52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2020-09-28T07:31:00Z</dcterms:created>
  <dc:creator>红涩樱桃</dc:creator>
  <cp:lastModifiedBy>刘晓华</cp:lastModifiedBy>
  <dcterms:modified xsi:type="dcterms:W3CDTF">2021-04-25T01:25:15Z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261F839096D84D5FB94083B688B77369</vt:lpwstr>
  </property>
</Properties>
</file>